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9002" w14:textId="77777777" w:rsidR="0035058D" w:rsidRDefault="0035058D" w:rsidP="00403DEE">
      <w:pPr>
        <w:pStyle w:val="BodyText"/>
        <w:rPr>
          <w:rFonts w:ascii="Times New Roman"/>
          <w:sz w:val="20"/>
        </w:rPr>
      </w:pPr>
    </w:p>
    <w:p w14:paraId="1CDA8135" w14:textId="77777777" w:rsidR="0035058D" w:rsidRDefault="0035058D" w:rsidP="00403DEE">
      <w:pPr>
        <w:pStyle w:val="BodyText"/>
        <w:spacing w:before="6"/>
        <w:rPr>
          <w:rFonts w:ascii="Times New Roman"/>
          <w:sz w:val="27"/>
        </w:rPr>
      </w:pPr>
    </w:p>
    <w:p w14:paraId="059B97FD" w14:textId="77777777" w:rsidR="0035058D" w:rsidRPr="00BE35DC" w:rsidRDefault="008B499F" w:rsidP="00F377B9">
      <w:pPr>
        <w:spacing w:before="35"/>
        <w:ind w:left="117"/>
        <w:jc w:val="center"/>
        <w:rPr>
          <w:sz w:val="32"/>
          <w:lang w:val="fr-FR"/>
        </w:rPr>
      </w:pPr>
      <w:r>
        <w:rPr>
          <w:color w:val="006FC0"/>
          <w:sz w:val="32"/>
          <w:lang w:val="fr"/>
        </w:rPr>
        <w:t>Politique de l’IB en matière de recrutement des examinateurs</w:t>
      </w:r>
    </w:p>
    <w:p w14:paraId="3D226E32" w14:textId="449ED989" w:rsidR="0035058D" w:rsidRPr="00BE35DC" w:rsidRDefault="00261D42" w:rsidP="00965AD6">
      <w:pPr>
        <w:pStyle w:val="BodyText"/>
        <w:tabs>
          <w:tab w:val="left" w:pos="2277"/>
        </w:tabs>
        <w:spacing w:before="191"/>
        <w:ind w:left="117"/>
        <w:rPr>
          <w:sz w:val="20"/>
          <w:szCs w:val="20"/>
        </w:rPr>
      </w:pPr>
      <w:r>
        <w:rPr>
          <w:sz w:val="20"/>
          <w:szCs w:val="20"/>
          <w:lang w:val="fr"/>
        </w:rPr>
        <w:tab/>
      </w:r>
      <w:r>
        <w:rPr>
          <w:sz w:val="20"/>
          <w:szCs w:val="20"/>
          <w:lang w:val="fr"/>
        </w:rPr>
        <w:tab/>
      </w:r>
      <w:r>
        <w:rPr>
          <w:sz w:val="20"/>
          <w:szCs w:val="20"/>
          <w:lang w:val="fr"/>
        </w:rPr>
        <w:tab/>
      </w:r>
      <w:r w:rsidR="008B499F" w:rsidRPr="00BE35DC">
        <w:rPr>
          <w:sz w:val="20"/>
          <w:szCs w:val="20"/>
          <w:lang w:val="fr"/>
        </w:rPr>
        <w:t>Version 1.</w:t>
      </w:r>
      <w:r w:rsidR="00004FC7">
        <w:rPr>
          <w:sz w:val="20"/>
          <w:szCs w:val="20"/>
          <w:lang w:val="fr"/>
        </w:rPr>
        <w:t>7</w:t>
      </w:r>
      <w:r w:rsidR="008B499F" w:rsidRPr="00BE35DC">
        <w:rPr>
          <w:sz w:val="20"/>
          <w:szCs w:val="20"/>
          <w:lang w:val="fr"/>
        </w:rPr>
        <w:t xml:space="preserve"> du </w:t>
      </w:r>
      <w:r w:rsidR="00004FC7">
        <w:rPr>
          <w:sz w:val="20"/>
          <w:szCs w:val="20"/>
          <w:lang w:val="fr"/>
        </w:rPr>
        <w:t>3</w:t>
      </w:r>
      <w:r w:rsidR="00965AD6" w:rsidRPr="00965AD6">
        <w:t xml:space="preserve"> </w:t>
      </w:r>
      <w:r w:rsidR="00965AD6" w:rsidRPr="00965AD6">
        <w:rPr>
          <w:sz w:val="20"/>
          <w:szCs w:val="20"/>
          <w:lang w:val="fr"/>
        </w:rPr>
        <w:t>octobre</w:t>
      </w:r>
      <w:r w:rsidR="008B499F" w:rsidRPr="00BE35DC">
        <w:rPr>
          <w:sz w:val="20"/>
          <w:szCs w:val="20"/>
          <w:lang w:val="fr"/>
        </w:rPr>
        <w:t> 202</w:t>
      </w:r>
      <w:r w:rsidR="00004FC7">
        <w:rPr>
          <w:sz w:val="20"/>
          <w:szCs w:val="20"/>
          <w:lang w:val="fr"/>
        </w:rPr>
        <w:t>2</w:t>
      </w:r>
    </w:p>
    <w:p w14:paraId="6CEA5139" w14:textId="77777777" w:rsidR="0035058D" w:rsidRDefault="008B499F" w:rsidP="00403DEE">
      <w:pPr>
        <w:pStyle w:val="Heading1"/>
        <w:numPr>
          <w:ilvl w:val="0"/>
          <w:numId w:val="2"/>
        </w:numPr>
        <w:tabs>
          <w:tab w:val="left" w:pos="478"/>
        </w:tabs>
        <w:spacing w:before="183"/>
      </w:pPr>
      <w:r>
        <w:rPr>
          <w:lang w:val="fr"/>
        </w:rPr>
        <w:t>Objet de ce document</w:t>
      </w:r>
    </w:p>
    <w:p w14:paraId="743AE879" w14:textId="77777777" w:rsidR="0035058D" w:rsidRPr="00BE35DC" w:rsidRDefault="008B499F" w:rsidP="00791E64">
      <w:pPr>
        <w:pStyle w:val="BodyText"/>
        <w:spacing w:before="25" w:line="259" w:lineRule="auto"/>
        <w:ind w:left="477" w:right="174"/>
        <w:jc w:val="both"/>
        <w:rPr>
          <w:lang w:val="fr-FR"/>
        </w:rPr>
      </w:pPr>
      <w:r>
        <w:rPr>
          <w:lang w:val="fr"/>
        </w:rPr>
        <w:t>Ce document vise à préciser les exigences minimales auxquelles les candidats doivent satisfaire pour être nommés examinateurs de l’IB, dans le cadre du Programme d’éducation intermédiaire (PEI), du Programme du diplôme ou du Programme à orientation professionnelle (POP). De plus, il présente les qualités recherchées qui seront prises en considération au cours du processus de nomination.</w:t>
      </w:r>
    </w:p>
    <w:p w14:paraId="12F55209" w14:textId="77777777" w:rsidR="0035058D" w:rsidRPr="00BE35DC" w:rsidRDefault="0035058D" w:rsidP="00791E64">
      <w:pPr>
        <w:pStyle w:val="BodyText"/>
        <w:spacing w:before="9"/>
        <w:ind w:right="174"/>
        <w:jc w:val="both"/>
        <w:rPr>
          <w:sz w:val="23"/>
          <w:lang w:val="fr-FR"/>
        </w:rPr>
      </w:pPr>
    </w:p>
    <w:p w14:paraId="6858E248" w14:textId="77777777" w:rsidR="0035058D" w:rsidRDefault="008B499F" w:rsidP="00791E64">
      <w:pPr>
        <w:pStyle w:val="Heading1"/>
        <w:numPr>
          <w:ilvl w:val="0"/>
          <w:numId w:val="2"/>
        </w:numPr>
        <w:tabs>
          <w:tab w:val="left" w:pos="478"/>
        </w:tabs>
        <w:ind w:right="174"/>
        <w:jc w:val="both"/>
      </w:pPr>
      <w:r>
        <w:rPr>
          <w:lang w:val="fr"/>
        </w:rPr>
        <w:t>Exigences requises des candidats</w:t>
      </w:r>
    </w:p>
    <w:p w14:paraId="34EDDB25" w14:textId="77777777" w:rsidR="0035058D" w:rsidRPr="00BE35DC" w:rsidRDefault="008B499F" w:rsidP="00791E64">
      <w:pPr>
        <w:pStyle w:val="BodyText"/>
        <w:spacing w:after="120"/>
        <w:ind w:left="458" w:right="174"/>
        <w:jc w:val="both"/>
        <w:rPr>
          <w:lang w:val="fr-FR"/>
        </w:rPr>
      </w:pPr>
      <w:r>
        <w:rPr>
          <w:lang w:val="fr"/>
        </w:rPr>
        <w:t xml:space="preserve">La liste ci-dessous précise les exigences auxquelles tous les candidats </w:t>
      </w:r>
      <w:r>
        <w:rPr>
          <w:b/>
          <w:bCs/>
          <w:lang w:val="fr"/>
        </w:rPr>
        <w:t>doivent</w:t>
      </w:r>
      <w:r>
        <w:rPr>
          <w:lang w:val="fr"/>
        </w:rPr>
        <w:t xml:space="preserve"> satisfaire pour que leur candidature au poste d’examinateur de l’IB soit étudiée.</w:t>
      </w:r>
    </w:p>
    <w:p w14:paraId="23FCDF01" w14:textId="77777777" w:rsidR="0035058D" w:rsidRPr="00BE35DC" w:rsidRDefault="008B499F" w:rsidP="00791E64">
      <w:pPr>
        <w:pStyle w:val="ListParagraph"/>
        <w:numPr>
          <w:ilvl w:val="1"/>
          <w:numId w:val="2"/>
        </w:numPr>
        <w:tabs>
          <w:tab w:val="left" w:pos="902"/>
          <w:tab w:val="left" w:pos="903"/>
        </w:tabs>
        <w:spacing w:before="0" w:after="120"/>
        <w:ind w:right="174" w:hanging="360"/>
        <w:jc w:val="both"/>
        <w:rPr>
          <w:lang w:val="fr-FR"/>
        </w:rPr>
      </w:pPr>
      <w:r>
        <w:rPr>
          <w:lang w:val="fr"/>
        </w:rPr>
        <w:t xml:space="preserve">Les candidats </w:t>
      </w:r>
      <w:r>
        <w:rPr>
          <w:b/>
          <w:bCs/>
          <w:lang w:val="fr"/>
        </w:rPr>
        <w:t>doivent</w:t>
      </w:r>
      <w:r>
        <w:rPr>
          <w:lang w:val="fr"/>
        </w:rPr>
        <w:t xml:space="preserve"> avoir un diplôme universitaire (ou équivalent) dans la matière pour laquelle ils postulent (ou une matière connexe).</w:t>
      </w:r>
    </w:p>
    <w:p w14:paraId="3703E48F" w14:textId="77777777" w:rsidR="0035058D" w:rsidRPr="00BE35DC" w:rsidRDefault="008B499F" w:rsidP="00791E64">
      <w:pPr>
        <w:pStyle w:val="ListParagraph"/>
        <w:numPr>
          <w:ilvl w:val="1"/>
          <w:numId w:val="2"/>
        </w:numPr>
        <w:tabs>
          <w:tab w:val="left" w:pos="902"/>
          <w:tab w:val="left" w:pos="903"/>
        </w:tabs>
        <w:spacing w:before="0" w:after="120"/>
        <w:ind w:right="174" w:hanging="360"/>
        <w:jc w:val="both"/>
        <w:rPr>
          <w:lang w:val="fr-FR"/>
        </w:rPr>
      </w:pPr>
      <w:r>
        <w:rPr>
          <w:lang w:val="fr"/>
        </w:rPr>
        <w:t xml:space="preserve">Les candidats </w:t>
      </w:r>
      <w:r>
        <w:rPr>
          <w:b/>
          <w:bCs/>
          <w:lang w:val="fr"/>
        </w:rPr>
        <w:t>doivent</w:t>
      </w:r>
      <w:r>
        <w:rPr>
          <w:lang w:val="fr"/>
        </w:rPr>
        <w:t xml:space="preserve"> avoir au moins un an d’expérience dans l’enseignement de cette matière (ou d’une matière connexe) à des élèves âgés de :</w:t>
      </w:r>
    </w:p>
    <w:p w14:paraId="2B640875" w14:textId="77777777" w:rsidR="0035058D" w:rsidRPr="00BE35DC" w:rsidRDefault="008B499F" w:rsidP="00791E64">
      <w:pPr>
        <w:pStyle w:val="ListParagraph"/>
        <w:numPr>
          <w:ilvl w:val="2"/>
          <w:numId w:val="2"/>
        </w:numPr>
        <w:tabs>
          <w:tab w:val="left" w:pos="2277"/>
          <w:tab w:val="left" w:pos="2278"/>
        </w:tabs>
        <w:spacing w:before="0" w:after="120"/>
        <w:ind w:right="174" w:hanging="360"/>
        <w:jc w:val="both"/>
        <w:rPr>
          <w:lang w:val="fr-FR"/>
        </w:rPr>
      </w:pPr>
      <w:r>
        <w:rPr>
          <w:lang w:val="fr"/>
        </w:rPr>
        <w:t>14 à 16 ans, pour le PEI ;</w:t>
      </w:r>
    </w:p>
    <w:p w14:paraId="37A5476C" w14:textId="77777777" w:rsidR="0035058D" w:rsidRPr="00BE35DC" w:rsidRDefault="008B499F" w:rsidP="00791E64">
      <w:pPr>
        <w:pStyle w:val="ListParagraph"/>
        <w:numPr>
          <w:ilvl w:val="2"/>
          <w:numId w:val="2"/>
        </w:numPr>
        <w:tabs>
          <w:tab w:val="left" w:pos="2277"/>
          <w:tab w:val="left" w:pos="2278"/>
        </w:tabs>
        <w:spacing w:before="0" w:after="120"/>
        <w:ind w:right="174" w:hanging="360"/>
        <w:jc w:val="both"/>
        <w:rPr>
          <w:lang w:val="fr-FR"/>
        </w:rPr>
      </w:pPr>
      <w:r>
        <w:rPr>
          <w:lang w:val="fr"/>
        </w:rPr>
        <w:t>16 à 19 ans, pour le Programme du diplôme ou le POP.</w:t>
      </w:r>
    </w:p>
    <w:p w14:paraId="5AB1C8AF" w14:textId="77777777" w:rsidR="0035058D" w:rsidRPr="00BE35DC" w:rsidRDefault="008B499F" w:rsidP="00791E64">
      <w:pPr>
        <w:pStyle w:val="ListParagraph"/>
        <w:numPr>
          <w:ilvl w:val="1"/>
          <w:numId w:val="2"/>
        </w:numPr>
        <w:tabs>
          <w:tab w:val="left" w:pos="868"/>
          <w:tab w:val="left" w:pos="870"/>
        </w:tabs>
        <w:spacing w:before="0" w:after="120"/>
        <w:ind w:left="869" w:right="174"/>
        <w:jc w:val="both"/>
        <w:rPr>
          <w:lang w:val="fr-FR"/>
        </w:rPr>
      </w:pPr>
      <w:r>
        <w:rPr>
          <w:lang w:val="fr"/>
        </w:rPr>
        <w:t xml:space="preserve">Les candidats qui ont cessé d’enseigner </w:t>
      </w:r>
      <w:r>
        <w:rPr>
          <w:b/>
          <w:bCs/>
          <w:lang w:val="fr"/>
        </w:rPr>
        <w:t>doivent</w:t>
      </w:r>
      <w:r>
        <w:rPr>
          <w:lang w:val="fr"/>
        </w:rPr>
        <w:t xml:space="preserve"> avoir occupé un poste d’enseignant ou d’examinateur au cours des trois dernières années.</w:t>
      </w:r>
    </w:p>
    <w:p w14:paraId="716CC23B" w14:textId="77777777" w:rsidR="0035058D" w:rsidRPr="00BE35DC" w:rsidRDefault="008B499F" w:rsidP="00791E64">
      <w:pPr>
        <w:pStyle w:val="ListParagraph"/>
        <w:numPr>
          <w:ilvl w:val="1"/>
          <w:numId w:val="2"/>
        </w:numPr>
        <w:spacing w:before="0" w:after="120"/>
        <w:ind w:right="174"/>
        <w:jc w:val="both"/>
        <w:rPr>
          <w:rFonts w:asciiTheme="minorHAnsi" w:eastAsiaTheme="minorEastAsia" w:hAnsiTheme="minorHAnsi" w:cstheme="minorBidi"/>
          <w:lang w:val="fr-FR"/>
        </w:rPr>
      </w:pPr>
      <w:r>
        <w:rPr>
          <w:lang w:val="fr"/>
        </w:rPr>
        <w:t xml:space="preserve">Les candidats pour le groupe de matières Mathématiques du Programme du diplôme </w:t>
      </w:r>
      <w:r>
        <w:rPr>
          <w:b/>
          <w:bCs/>
          <w:lang w:val="fr"/>
        </w:rPr>
        <w:t>doivent</w:t>
      </w:r>
      <w:r>
        <w:rPr>
          <w:lang w:val="fr"/>
        </w:rPr>
        <w:t xml:space="preserve"> maîtriser l’utilisation d’un modèle de calculatrice approuvé par l’IB comme indiqué </w:t>
      </w:r>
      <w:hyperlink r:id="rId11">
        <w:r>
          <w:rPr>
            <w:rStyle w:val="Hyperlink"/>
            <w:lang w:val="fr"/>
          </w:rPr>
          <w:t>ici</w:t>
        </w:r>
      </w:hyperlink>
      <w:r>
        <w:rPr>
          <w:lang w:val="fr"/>
        </w:rPr>
        <w:t>.</w:t>
      </w:r>
    </w:p>
    <w:p w14:paraId="74643768" w14:textId="77777777" w:rsidR="0035058D" w:rsidRPr="00BE35DC" w:rsidRDefault="008B499F" w:rsidP="00791E64">
      <w:pPr>
        <w:pStyle w:val="ListParagraph"/>
        <w:numPr>
          <w:ilvl w:val="1"/>
          <w:numId w:val="2"/>
        </w:numPr>
        <w:tabs>
          <w:tab w:val="left" w:pos="854"/>
          <w:tab w:val="left" w:pos="855"/>
        </w:tabs>
        <w:spacing w:before="0" w:after="120"/>
        <w:ind w:left="854" w:right="174" w:hanging="357"/>
        <w:jc w:val="both"/>
        <w:rPr>
          <w:lang w:val="fr-FR"/>
        </w:rPr>
      </w:pPr>
      <w:r>
        <w:rPr>
          <w:lang w:val="fr"/>
        </w:rPr>
        <w:t xml:space="preserve">Les candidats à l’évaluation de la théorie de la connaissance ou du projet de réflexion </w:t>
      </w:r>
      <w:r>
        <w:rPr>
          <w:b/>
          <w:bCs/>
          <w:lang w:val="fr"/>
        </w:rPr>
        <w:t>doivent</w:t>
      </w:r>
      <w:r>
        <w:rPr>
          <w:lang w:val="fr"/>
        </w:rPr>
        <w:t xml:space="preserve"> avoir enseigné ce cours dans une école du monde de l’IB.</w:t>
      </w:r>
    </w:p>
    <w:p w14:paraId="43AE993A" w14:textId="77777777" w:rsidR="0035058D" w:rsidRPr="00BE35DC" w:rsidRDefault="008B499F" w:rsidP="00791E64">
      <w:pPr>
        <w:pStyle w:val="ListParagraph"/>
        <w:numPr>
          <w:ilvl w:val="0"/>
          <w:numId w:val="1"/>
        </w:numPr>
        <w:tabs>
          <w:tab w:val="left" w:pos="831"/>
          <w:tab w:val="left" w:pos="832"/>
        </w:tabs>
        <w:spacing w:before="0" w:after="120"/>
        <w:ind w:right="174"/>
        <w:jc w:val="both"/>
        <w:rPr>
          <w:lang w:val="fr-FR"/>
        </w:rPr>
      </w:pPr>
      <w:r>
        <w:rPr>
          <w:lang w:val="fr"/>
        </w:rPr>
        <w:t>Les candidats doivent être capables d’évaluer les élèves et de rédiger des comptes rendus dans la langue d’usage de la matière évaluée.</w:t>
      </w:r>
    </w:p>
    <w:p w14:paraId="1C391712" w14:textId="77777777" w:rsidR="0035058D" w:rsidRPr="00BE35DC" w:rsidRDefault="008B499F" w:rsidP="00791E64">
      <w:pPr>
        <w:pStyle w:val="ListParagraph"/>
        <w:numPr>
          <w:ilvl w:val="0"/>
          <w:numId w:val="1"/>
        </w:numPr>
        <w:tabs>
          <w:tab w:val="left" w:pos="838"/>
          <w:tab w:val="left" w:pos="839"/>
        </w:tabs>
        <w:spacing w:before="0" w:after="120"/>
        <w:ind w:left="838" w:right="174" w:hanging="360"/>
        <w:jc w:val="both"/>
        <w:rPr>
          <w:lang w:val="fr-FR"/>
        </w:rPr>
      </w:pPr>
      <w:r>
        <w:rPr>
          <w:lang w:val="fr"/>
        </w:rPr>
        <w:t xml:space="preserve">Les candidats </w:t>
      </w:r>
      <w:r>
        <w:rPr>
          <w:b/>
          <w:bCs/>
          <w:lang w:val="fr"/>
        </w:rPr>
        <w:t>doivent</w:t>
      </w:r>
      <w:r>
        <w:rPr>
          <w:lang w:val="fr"/>
        </w:rPr>
        <w:t xml:space="preserve"> être capables de communiquer et de lire les documents nécessaires en anglais, en espagnol ou en français.</w:t>
      </w:r>
    </w:p>
    <w:p w14:paraId="5536CE93" w14:textId="77777777" w:rsidR="0035058D" w:rsidRPr="00BE35DC" w:rsidRDefault="008B499F" w:rsidP="00791E64">
      <w:pPr>
        <w:pStyle w:val="ListParagraph"/>
        <w:numPr>
          <w:ilvl w:val="0"/>
          <w:numId w:val="1"/>
        </w:numPr>
        <w:tabs>
          <w:tab w:val="left" w:pos="857"/>
          <w:tab w:val="left" w:pos="858"/>
        </w:tabs>
        <w:spacing w:before="0" w:after="120"/>
        <w:ind w:left="857" w:right="174" w:hanging="360"/>
        <w:jc w:val="both"/>
        <w:rPr>
          <w:lang w:val="fr-FR"/>
        </w:rPr>
      </w:pPr>
      <w:r>
        <w:rPr>
          <w:lang w:val="fr"/>
        </w:rPr>
        <w:t xml:space="preserve">Les candidats </w:t>
      </w:r>
      <w:r>
        <w:rPr>
          <w:b/>
          <w:bCs/>
          <w:lang w:val="fr"/>
        </w:rPr>
        <w:t>doivent</w:t>
      </w:r>
      <w:r>
        <w:rPr>
          <w:lang w:val="fr"/>
        </w:rPr>
        <w:t xml:space="preserve"> disposer d’un accès à Internet à haut débit (256 kbit/s minimum, 2 Mbit/s recommandés) dans un environnement sécurisé convenant à la notation de matériel d’évaluation confidentiel.</w:t>
      </w:r>
    </w:p>
    <w:p w14:paraId="329FD0B8" w14:textId="77777777" w:rsidR="0035058D" w:rsidRPr="00BE35DC" w:rsidRDefault="008B499F" w:rsidP="00791E64">
      <w:pPr>
        <w:pStyle w:val="ListParagraph"/>
        <w:numPr>
          <w:ilvl w:val="0"/>
          <w:numId w:val="1"/>
        </w:numPr>
        <w:tabs>
          <w:tab w:val="left" w:pos="869"/>
          <w:tab w:val="left" w:pos="870"/>
        </w:tabs>
        <w:spacing w:before="0" w:after="120"/>
        <w:ind w:left="869" w:right="174" w:hanging="360"/>
        <w:jc w:val="both"/>
        <w:rPr>
          <w:lang w:val="fr-FR"/>
        </w:rPr>
      </w:pPr>
      <w:r>
        <w:rPr>
          <w:lang w:val="fr"/>
        </w:rPr>
        <w:t>Toutes les candidatures d’examinateur de l’IB doivent être accompagnées d’au moins deux références professionnelles.</w:t>
      </w:r>
    </w:p>
    <w:p w14:paraId="3816EB3A" w14:textId="77777777" w:rsidR="0035058D" w:rsidRPr="00BE35DC" w:rsidRDefault="008B499F" w:rsidP="00791E64">
      <w:pPr>
        <w:pStyle w:val="ListParagraph"/>
        <w:numPr>
          <w:ilvl w:val="1"/>
          <w:numId w:val="1"/>
        </w:numPr>
        <w:tabs>
          <w:tab w:val="left" w:pos="1918"/>
          <w:tab w:val="left" w:pos="1919"/>
        </w:tabs>
        <w:spacing w:before="0" w:after="120"/>
        <w:ind w:right="174" w:hanging="360"/>
        <w:jc w:val="both"/>
        <w:rPr>
          <w:lang w:val="fr-FR"/>
        </w:rPr>
      </w:pPr>
      <w:r>
        <w:rPr>
          <w:lang w:val="fr"/>
        </w:rPr>
        <w:t xml:space="preserve">Si vous travaillez dans un établissement, au moins l’une des personnes citées en référence </w:t>
      </w:r>
      <w:r>
        <w:rPr>
          <w:b/>
          <w:bCs/>
          <w:lang w:val="fr"/>
        </w:rPr>
        <w:t>doit</w:t>
      </w:r>
      <w:r>
        <w:rPr>
          <w:lang w:val="fr"/>
        </w:rPr>
        <w:t xml:space="preserve"> être votre chef d’établissement ou l’adjoint au chef d’établissement, ou votre coordonnateur de l’IB si vous travaillez dans une école du monde de l’IB.</w:t>
      </w:r>
    </w:p>
    <w:p w14:paraId="624AD561" w14:textId="77777777" w:rsidR="0035058D" w:rsidRPr="00BE35DC" w:rsidRDefault="008B499F" w:rsidP="00791E64">
      <w:pPr>
        <w:pStyle w:val="ListParagraph"/>
        <w:numPr>
          <w:ilvl w:val="1"/>
          <w:numId w:val="1"/>
        </w:numPr>
        <w:tabs>
          <w:tab w:val="left" w:pos="1918"/>
          <w:tab w:val="left" w:pos="1919"/>
        </w:tabs>
        <w:spacing w:before="0" w:after="120"/>
        <w:ind w:right="174" w:hanging="360"/>
        <w:jc w:val="both"/>
        <w:rPr>
          <w:lang w:val="fr-FR"/>
        </w:rPr>
      </w:pPr>
      <w:r>
        <w:rPr>
          <w:lang w:val="fr"/>
        </w:rPr>
        <w:t xml:space="preserve">Si vous avez récemment pris votre retraite ou ne travaillez pas dans le domaine de l’éducation à l’heure actuelle, au moins l’une des personnes citées en référence </w:t>
      </w:r>
      <w:r>
        <w:rPr>
          <w:b/>
          <w:bCs/>
          <w:lang w:val="fr"/>
        </w:rPr>
        <w:t>doit</w:t>
      </w:r>
      <w:r>
        <w:rPr>
          <w:lang w:val="fr"/>
        </w:rPr>
        <w:t xml:space="preserve"> être le chef d’établissement, l’adjoint au chef d’établissement ou le coordonnateur de l’IB du dernier établissement où vous avez travaillé.</w:t>
      </w:r>
    </w:p>
    <w:p w14:paraId="6BE8C4C0" w14:textId="77777777" w:rsidR="0035058D" w:rsidRPr="00BE35DC" w:rsidRDefault="008B499F" w:rsidP="00791E64">
      <w:pPr>
        <w:pStyle w:val="ListParagraph"/>
        <w:numPr>
          <w:ilvl w:val="1"/>
          <w:numId w:val="1"/>
        </w:numPr>
        <w:tabs>
          <w:tab w:val="left" w:pos="1918"/>
          <w:tab w:val="left" w:pos="1919"/>
        </w:tabs>
        <w:spacing w:before="0" w:after="120"/>
        <w:ind w:left="1919" w:right="174"/>
        <w:jc w:val="both"/>
        <w:rPr>
          <w:lang w:val="fr-FR"/>
        </w:rPr>
      </w:pPr>
      <w:r>
        <w:rPr>
          <w:lang w:val="fr"/>
        </w:rPr>
        <w:t xml:space="preserve">Si vous travaillez dans un établissement d’enseignement supérieur ou une université, au </w:t>
      </w:r>
      <w:r>
        <w:rPr>
          <w:lang w:val="fr"/>
        </w:rPr>
        <w:lastRenderedPageBreak/>
        <w:t xml:space="preserve">moins l’une des personnes citées en référence </w:t>
      </w:r>
      <w:r>
        <w:rPr>
          <w:b/>
          <w:bCs/>
          <w:lang w:val="fr"/>
        </w:rPr>
        <w:t>doit</w:t>
      </w:r>
      <w:r>
        <w:rPr>
          <w:lang w:val="fr"/>
        </w:rPr>
        <w:t xml:space="preserve"> occuper un poste supérieur au vôtre, comme le responsable en chef de département.</w:t>
      </w:r>
    </w:p>
    <w:p w14:paraId="751661AF" w14:textId="192D0A67" w:rsidR="0035058D" w:rsidRPr="00791E64" w:rsidRDefault="008B499F" w:rsidP="00791E64">
      <w:pPr>
        <w:pStyle w:val="ListParagraph"/>
        <w:numPr>
          <w:ilvl w:val="1"/>
          <w:numId w:val="1"/>
        </w:numPr>
        <w:tabs>
          <w:tab w:val="left" w:pos="1919"/>
          <w:tab w:val="left" w:pos="1920"/>
        </w:tabs>
        <w:spacing w:before="0" w:after="120"/>
        <w:ind w:left="1985" w:right="174" w:hanging="425"/>
        <w:jc w:val="both"/>
        <w:rPr>
          <w:sz w:val="20"/>
          <w:lang w:val="fr-FR"/>
        </w:rPr>
      </w:pPr>
      <w:r w:rsidRPr="009D008E">
        <w:rPr>
          <w:lang w:val="fr"/>
        </w:rPr>
        <w:t xml:space="preserve">Les membres de la famille, les amis et les employés actuels de l’IB ne seront </w:t>
      </w:r>
      <w:r w:rsidRPr="009D008E">
        <w:rPr>
          <w:b/>
          <w:bCs/>
          <w:lang w:val="fr"/>
        </w:rPr>
        <w:t>pas</w:t>
      </w:r>
      <w:r w:rsidRPr="009D008E">
        <w:rPr>
          <w:lang w:val="fr"/>
        </w:rPr>
        <w:t xml:space="preserve"> considérés comme des références.</w:t>
      </w:r>
    </w:p>
    <w:p w14:paraId="76AE6B62" w14:textId="77777777" w:rsidR="0035058D" w:rsidRPr="00BE35DC" w:rsidRDefault="008B499F" w:rsidP="00791E64">
      <w:pPr>
        <w:pStyle w:val="ListParagraph"/>
        <w:numPr>
          <w:ilvl w:val="0"/>
          <w:numId w:val="1"/>
        </w:numPr>
        <w:tabs>
          <w:tab w:val="left" w:pos="838"/>
        </w:tabs>
        <w:spacing w:before="0" w:after="120"/>
        <w:ind w:left="837" w:right="174" w:hanging="360"/>
        <w:jc w:val="both"/>
        <w:rPr>
          <w:lang w:val="fr-FR"/>
        </w:rPr>
      </w:pPr>
      <w:r>
        <w:rPr>
          <w:lang w:val="fr"/>
        </w:rPr>
        <w:t>Les candidats doivent informer les personnes qu’ils ont citées en référence qu’il pourra leur être demandé de fournir des recommandations afin de soutenir leur candidature. Un candidat ne pourra être nommé que si l’IB reçoit au moins deux références satisfaisantes de la part des personnes citées.</w:t>
      </w:r>
    </w:p>
    <w:p w14:paraId="5A2DBAAF" w14:textId="77777777" w:rsidR="0035058D" w:rsidRPr="00BE35DC" w:rsidRDefault="008B499F" w:rsidP="00791E64">
      <w:pPr>
        <w:pStyle w:val="ListParagraph"/>
        <w:numPr>
          <w:ilvl w:val="0"/>
          <w:numId w:val="1"/>
        </w:numPr>
        <w:tabs>
          <w:tab w:val="left" w:pos="831"/>
        </w:tabs>
        <w:spacing w:before="0" w:after="120"/>
        <w:ind w:left="830" w:right="174" w:hanging="355"/>
        <w:jc w:val="both"/>
        <w:rPr>
          <w:lang w:val="fr-FR"/>
        </w:rPr>
      </w:pPr>
      <w:r>
        <w:rPr>
          <w:lang w:val="fr"/>
        </w:rPr>
        <w:t xml:space="preserve">Les candidats </w:t>
      </w:r>
      <w:r>
        <w:rPr>
          <w:b/>
          <w:bCs/>
          <w:lang w:val="fr"/>
        </w:rPr>
        <w:t>doivent</w:t>
      </w:r>
      <w:r>
        <w:rPr>
          <w:lang w:val="fr"/>
        </w:rPr>
        <w:t xml:space="preserve"> disposer d’un compte bancaire à leur nom. Les honoraires d’examinateur seront versés uniquement sur un compte à leur nom. Aucun paiement ne pourra être effectué sur le compte d’un tiers, à savoir un compte au nom d’un proche, d’une société, d’une organisation ou de tout autre représentant.</w:t>
      </w:r>
    </w:p>
    <w:p w14:paraId="4B7D0542" w14:textId="77777777" w:rsidR="009D008E" w:rsidRPr="009D008E" w:rsidRDefault="008B499F" w:rsidP="00791E64">
      <w:pPr>
        <w:pStyle w:val="ListParagraph"/>
        <w:numPr>
          <w:ilvl w:val="0"/>
          <w:numId w:val="1"/>
        </w:numPr>
        <w:tabs>
          <w:tab w:val="left" w:pos="838"/>
        </w:tabs>
        <w:spacing w:before="0" w:after="120"/>
        <w:ind w:left="837" w:right="174" w:hanging="360"/>
        <w:jc w:val="both"/>
        <w:rPr>
          <w:lang w:val="fr-FR"/>
        </w:rPr>
      </w:pPr>
      <w:r>
        <w:rPr>
          <w:lang w:val="fr"/>
        </w:rPr>
        <w:t xml:space="preserve">Les candidats qui détiennent un compte dans une banque située dans les pays ou les zones mentionnés ci-après doivent percevoir un paiement dans leur devise locale comme suit : </w:t>
      </w:r>
    </w:p>
    <w:p w14:paraId="030C64F2" w14:textId="7777777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(i) pour les banques au Canada, en dollars canadiens (CAD) ;</w:t>
      </w:r>
    </w:p>
    <w:p w14:paraId="61E8F06E" w14:textId="7777777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(ii) pour les banques des pays européens de la zone euro, en euros (EUR) ;</w:t>
      </w:r>
    </w:p>
    <w:p w14:paraId="0BD68543" w14:textId="7777777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(iii) pour les banques à Singapour, en dollars de Singapour (SGD) ;</w:t>
      </w:r>
    </w:p>
    <w:p w14:paraId="42201D1A" w14:textId="7777777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(iv) pour les banques aux États-Unis, en dollars américains (USD) ;</w:t>
      </w:r>
    </w:p>
    <w:p w14:paraId="698C6E07" w14:textId="225C1862"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(v) pour les banques en Australie, en dollars australiens (AUD) ;</w:t>
      </w:r>
    </w:p>
    <w:p w14:paraId="507DD877" w14:textId="7777777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(vi) pour les banques au Royaume-Uni, en livres sterling (GBP) ;</w:t>
      </w:r>
    </w:p>
    <w:p w14:paraId="338A315F" w14:textId="3CE9FE47" w:rsidR="009D008E" w:rsidRPr="009D008E" w:rsidRDefault="008B499F" w:rsidP="009D008E">
      <w:pPr>
        <w:pStyle w:val="ListParagraph"/>
        <w:numPr>
          <w:ilvl w:val="2"/>
          <w:numId w:val="1"/>
        </w:numPr>
        <w:tabs>
          <w:tab w:val="left" w:pos="838"/>
        </w:tabs>
        <w:spacing w:before="0" w:line="276" w:lineRule="auto"/>
        <w:ind w:right="110"/>
        <w:jc w:val="both"/>
        <w:rPr>
          <w:lang w:val="fr-FR"/>
        </w:rPr>
      </w:pPr>
      <w:r>
        <w:rPr>
          <w:lang w:val="fr"/>
        </w:rPr>
        <w:t>(vii) pour les banques en Suisse, en francs suisses (CHF) ;</w:t>
      </w:r>
    </w:p>
    <w:p w14:paraId="1D00322C" w14:textId="4758C4FE" w:rsidR="0035058D" w:rsidRPr="00BE35DC" w:rsidRDefault="008B499F" w:rsidP="009D008E">
      <w:pPr>
        <w:pStyle w:val="ListParagraph"/>
        <w:numPr>
          <w:ilvl w:val="2"/>
          <w:numId w:val="1"/>
        </w:numPr>
        <w:tabs>
          <w:tab w:val="left" w:pos="838"/>
        </w:tabs>
        <w:spacing w:before="0" w:line="276" w:lineRule="auto"/>
        <w:ind w:right="110"/>
        <w:jc w:val="both"/>
        <w:rPr>
          <w:lang w:val="fr-FR"/>
        </w:rPr>
      </w:pPr>
      <w:r>
        <w:rPr>
          <w:lang w:val="fr"/>
        </w:rPr>
        <w:t>(viii) pour les banques en Inde, en roupies indiennes (INR).</w:t>
      </w:r>
    </w:p>
    <w:p w14:paraId="2B917D08" w14:textId="77777777" w:rsidR="0035058D" w:rsidRPr="00BE35DC" w:rsidRDefault="0035058D" w:rsidP="009D008E">
      <w:pPr>
        <w:pStyle w:val="BodyText"/>
        <w:spacing w:before="4"/>
        <w:jc w:val="both"/>
        <w:rPr>
          <w:sz w:val="16"/>
          <w:lang w:val="fr-FR"/>
        </w:rPr>
      </w:pPr>
    </w:p>
    <w:p w14:paraId="0776547B" w14:textId="1DED1D0A" w:rsidR="00932B02" w:rsidRPr="00BE35DC" w:rsidRDefault="008B499F" w:rsidP="00791E64">
      <w:pPr>
        <w:pStyle w:val="Heading1"/>
        <w:numPr>
          <w:ilvl w:val="0"/>
          <w:numId w:val="2"/>
        </w:numPr>
        <w:tabs>
          <w:tab w:val="left" w:pos="476"/>
        </w:tabs>
        <w:spacing w:before="45"/>
        <w:ind w:left="475" w:right="209" w:hanging="358"/>
        <w:jc w:val="both"/>
        <w:rPr>
          <w:sz w:val="22"/>
          <w:szCs w:val="22"/>
          <w:lang w:val="fr-FR"/>
        </w:rPr>
      </w:pPr>
      <w:r>
        <w:rPr>
          <w:b/>
          <w:bCs/>
          <w:sz w:val="22"/>
          <w:szCs w:val="22"/>
          <w:lang w:val="fr"/>
        </w:rPr>
        <w:t>Les candidats doivent signaler tout conflit d’intérêts potentiel.</w:t>
      </w:r>
      <w:r>
        <w:rPr>
          <w:sz w:val="22"/>
          <w:szCs w:val="22"/>
          <w:lang w:val="fr"/>
        </w:rPr>
        <w:t xml:space="preserve"> Pour cela, veuillez consulter la</w:t>
      </w:r>
      <w:r>
        <w:rPr>
          <w:color w:val="0562C1"/>
          <w:sz w:val="22"/>
          <w:szCs w:val="22"/>
          <w:lang w:val="fr"/>
        </w:rPr>
        <w:t xml:space="preserve"> </w:t>
      </w:r>
      <w:hyperlink r:id="rId12" w:history="1">
        <w:r>
          <w:rPr>
            <w:rStyle w:val="Hyperlink"/>
            <w:sz w:val="22"/>
            <w:szCs w:val="22"/>
            <w:lang w:val="fr"/>
          </w:rPr>
          <w:t>politique en matière de conflits d’intérêts dans le cadre de l’évaluation à l’intention des professionnels de l’éducation de l’IB</w:t>
        </w:r>
      </w:hyperlink>
      <w:r>
        <w:rPr>
          <w:lang w:val="fr"/>
        </w:rPr>
        <w:t>.</w:t>
      </w:r>
    </w:p>
    <w:p w14:paraId="6193AB7A" w14:textId="77777777" w:rsidR="00932B02" w:rsidRPr="00BE35DC" w:rsidRDefault="00932B02" w:rsidP="009D008E">
      <w:pPr>
        <w:pStyle w:val="Heading1"/>
        <w:tabs>
          <w:tab w:val="left" w:pos="476"/>
        </w:tabs>
        <w:spacing w:before="45"/>
        <w:ind w:firstLine="0"/>
        <w:jc w:val="both"/>
        <w:rPr>
          <w:lang w:val="fr-FR"/>
        </w:rPr>
      </w:pPr>
    </w:p>
    <w:p w14:paraId="79265B62" w14:textId="77777777" w:rsidR="0035058D" w:rsidRPr="00932B02" w:rsidRDefault="008B499F" w:rsidP="009D008E">
      <w:pPr>
        <w:pStyle w:val="Heading1"/>
        <w:numPr>
          <w:ilvl w:val="0"/>
          <w:numId w:val="2"/>
        </w:numPr>
        <w:tabs>
          <w:tab w:val="left" w:pos="476"/>
        </w:tabs>
        <w:spacing w:before="45"/>
        <w:ind w:left="475" w:hanging="358"/>
        <w:jc w:val="both"/>
        <w:rPr>
          <w:sz w:val="22"/>
          <w:szCs w:val="22"/>
        </w:rPr>
      </w:pPr>
      <w:r>
        <w:rPr>
          <w:sz w:val="22"/>
          <w:szCs w:val="22"/>
          <w:lang w:val="fr"/>
        </w:rPr>
        <w:t>Qualifications et expérience souhaitées</w:t>
      </w:r>
    </w:p>
    <w:p w14:paraId="4F8CA64D" w14:textId="57A1745F" w:rsidR="0035058D" w:rsidRPr="00BE35DC" w:rsidRDefault="008B499F" w:rsidP="00791E64">
      <w:pPr>
        <w:pStyle w:val="BodyText"/>
        <w:spacing w:before="188" w:line="259" w:lineRule="auto"/>
        <w:ind w:left="465" w:right="209"/>
        <w:jc w:val="both"/>
        <w:rPr>
          <w:lang w:val="fr-FR"/>
        </w:rPr>
      </w:pPr>
      <w:r>
        <w:rPr>
          <w:lang w:val="fr"/>
        </w:rPr>
        <w:t xml:space="preserve">La liste ci-dessous définit les qualifications et l’expérience souhaitées des candidats lorsqu’ils </w:t>
      </w:r>
      <w:proofErr w:type="gramStart"/>
      <w:r w:rsidR="00F745EE">
        <w:rPr>
          <w:lang w:val="fr"/>
        </w:rPr>
        <w:t>postulent à</w:t>
      </w:r>
      <w:proofErr w:type="gramEnd"/>
      <w:r>
        <w:rPr>
          <w:lang w:val="fr"/>
        </w:rPr>
        <w:t xml:space="preserve"> un poste d’examinateur de l’IB.</w:t>
      </w:r>
    </w:p>
    <w:p w14:paraId="61D4C0CC" w14:textId="77777777" w:rsidR="0035058D" w:rsidRPr="00BE35DC" w:rsidRDefault="008B499F" w:rsidP="00F745EE">
      <w:pPr>
        <w:pStyle w:val="ListParagraph"/>
        <w:numPr>
          <w:ilvl w:val="1"/>
          <w:numId w:val="2"/>
        </w:numPr>
        <w:tabs>
          <w:tab w:val="left" w:pos="830"/>
          <w:tab w:val="left" w:pos="831"/>
        </w:tabs>
        <w:spacing w:before="0" w:after="120"/>
        <w:ind w:left="833" w:hanging="357"/>
        <w:jc w:val="both"/>
        <w:rPr>
          <w:lang w:val="fr-FR"/>
        </w:rPr>
      </w:pPr>
      <w:r>
        <w:rPr>
          <w:lang w:val="fr"/>
        </w:rPr>
        <w:t>Expérience de l’enseignement du PEI, du Programme du diplôme ou du POP.</w:t>
      </w:r>
    </w:p>
    <w:p w14:paraId="39F5305F" w14:textId="77777777" w:rsidR="0035058D" w:rsidRPr="00BE35DC" w:rsidRDefault="008B499F" w:rsidP="00791E64">
      <w:pPr>
        <w:pStyle w:val="ListParagraph"/>
        <w:numPr>
          <w:ilvl w:val="1"/>
          <w:numId w:val="2"/>
        </w:numPr>
        <w:tabs>
          <w:tab w:val="left" w:pos="830"/>
          <w:tab w:val="left" w:pos="831"/>
        </w:tabs>
        <w:spacing w:before="0" w:after="120"/>
        <w:ind w:left="833" w:right="209" w:hanging="357"/>
        <w:jc w:val="both"/>
        <w:rPr>
          <w:lang w:val="fr-FR"/>
        </w:rPr>
      </w:pPr>
      <w:r>
        <w:rPr>
          <w:lang w:val="fr"/>
        </w:rPr>
        <w:t>Expérience de l’enseignement à un niveau de qualification pour l’entrée dans l’enseignement supérieur (pour les examinateurs candidats du Programme du diplôme ou du POP).</w:t>
      </w:r>
    </w:p>
    <w:p w14:paraId="0E4D7353" w14:textId="77777777" w:rsidR="0035058D" w:rsidRDefault="008B499F" w:rsidP="00F745EE">
      <w:pPr>
        <w:pStyle w:val="ListParagraph"/>
        <w:numPr>
          <w:ilvl w:val="1"/>
          <w:numId w:val="2"/>
        </w:numPr>
        <w:tabs>
          <w:tab w:val="left" w:pos="830"/>
          <w:tab w:val="left" w:pos="831"/>
        </w:tabs>
        <w:spacing w:before="0" w:after="120"/>
        <w:ind w:left="833" w:hanging="357"/>
        <w:jc w:val="both"/>
      </w:pPr>
      <w:r>
        <w:rPr>
          <w:lang w:val="fr"/>
        </w:rPr>
        <w:t>Expérience du rôle d’examinateur.</w:t>
      </w:r>
    </w:p>
    <w:p w14:paraId="4C4DDD37" w14:textId="4F480DE7" w:rsidR="00F745EE" w:rsidRDefault="008B499F" w:rsidP="00791E64">
      <w:pPr>
        <w:pStyle w:val="ListParagraph"/>
        <w:numPr>
          <w:ilvl w:val="1"/>
          <w:numId w:val="2"/>
        </w:numPr>
        <w:tabs>
          <w:tab w:val="left" w:pos="830"/>
          <w:tab w:val="left" w:pos="831"/>
        </w:tabs>
        <w:spacing w:before="0" w:after="120"/>
        <w:ind w:left="833" w:right="209" w:hanging="357"/>
        <w:jc w:val="both"/>
        <w:rPr>
          <w:lang w:val="fr"/>
        </w:rPr>
      </w:pPr>
      <w:r>
        <w:rPr>
          <w:lang w:val="fr"/>
        </w:rPr>
        <w:t>Capacité à lire des documents, rédiger des rapports et noter des travaux d’élèves dans les langues suivantes.</w:t>
      </w:r>
    </w:p>
    <w:p w14:paraId="1A4A261F" w14:textId="14267645" w:rsidR="00F745EE" w:rsidRDefault="00F745EE">
      <w:pPr>
        <w:rPr>
          <w:lang w:val="fr"/>
        </w:rPr>
      </w:pPr>
    </w:p>
    <w:p w14:paraId="622C6B4F" w14:textId="77777777" w:rsidR="0035058D" w:rsidRPr="00BE35DC" w:rsidRDefault="0035058D" w:rsidP="009D008E">
      <w:pPr>
        <w:pStyle w:val="BodyText"/>
        <w:spacing w:before="7"/>
        <w:jc w:val="both"/>
        <w:rPr>
          <w:sz w:val="16"/>
          <w:lang w:val="fr-FR"/>
        </w:rPr>
      </w:pPr>
    </w:p>
    <w:tbl>
      <w:tblPr>
        <w:tblW w:w="0" w:type="auto"/>
        <w:tblInd w:w="1465" w:type="dxa"/>
        <w:tblLayout w:type="fixed"/>
        <w:tblCellMar>
          <w:left w:w="0" w:type="dxa"/>
          <w:right w:w="0" w:type="dxa"/>
        </w:tblCellMar>
        <w:tblLook w:val="01E0" w:firstRow="1" w:lastRow="1" w:firstColumn="1" w:lastColumn="1" w:noHBand="0" w:noVBand="0"/>
      </w:tblPr>
      <w:tblGrid>
        <w:gridCol w:w="2460"/>
        <w:gridCol w:w="2826"/>
      </w:tblGrid>
      <w:tr w:rsidR="0035058D" w14:paraId="5F810C16" w14:textId="77777777" w:rsidTr="00807854">
        <w:trPr>
          <w:trHeight w:val="37"/>
        </w:trPr>
        <w:tc>
          <w:tcPr>
            <w:tcW w:w="2460" w:type="dxa"/>
          </w:tcPr>
          <w:p w14:paraId="5D1D97DB" w14:textId="77777777" w:rsidR="0035058D" w:rsidRDefault="008B499F" w:rsidP="00403DEE">
            <w:pPr>
              <w:pStyle w:val="TableParagraph"/>
              <w:spacing w:line="225" w:lineRule="exact"/>
              <w:rPr>
                <w:b/>
              </w:rPr>
            </w:pPr>
            <w:r>
              <w:rPr>
                <w:b/>
                <w:bCs/>
                <w:lang w:val="fr"/>
              </w:rPr>
              <w:t>Programme du diplôme / POP</w:t>
            </w:r>
          </w:p>
        </w:tc>
        <w:tc>
          <w:tcPr>
            <w:tcW w:w="2826" w:type="dxa"/>
          </w:tcPr>
          <w:p w14:paraId="53578473" w14:textId="77777777" w:rsidR="0035058D" w:rsidRDefault="008B499F" w:rsidP="00403DEE">
            <w:pPr>
              <w:pStyle w:val="TableParagraph"/>
              <w:spacing w:line="225" w:lineRule="exact"/>
              <w:ind w:left="575"/>
              <w:rPr>
                <w:b/>
              </w:rPr>
            </w:pPr>
            <w:r>
              <w:rPr>
                <w:b/>
                <w:bCs/>
                <w:lang w:val="fr"/>
              </w:rPr>
              <w:t>PEI</w:t>
            </w:r>
          </w:p>
        </w:tc>
      </w:tr>
      <w:tr w:rsidR="0035058D" w14:paraId="58C4B291" w14:textId="77777777" w:rsidTr="00807854">
        <w:trPr>
          <w:trHeight w:val="620"/>
        </w:trPr>
        <w:tc>
          <w:tcPr>
            <w:tcW w:w="2460" w:type="dxa"/>
          </w:tcPr>
          <w:p w14:paraId="34D543A8" w14:textId="77777777" w:rsidR="00F745EE" w:rsidRDefault="00F745EE" w:rsidP="00403DEE">
            <w:pPr>
              <w:pStyle w:val="TableParagraph"/>
              <w:spacing w:line="249" w:lineRule="exact"/>
              <w:rPr>
                <w:lang w:val="fr"/>
              </w:rPr>
            </w:pPr>
            <w:r>
              <w:rPr>
                <w:lang w:val="fr"/>
              </w:rPr>
              <w:t>Allemand</w:t>
            </w:r>
          </w:p>
          <w:p w14:paraId="74B99FCD" w14:textId="4A35BF71" w:rsidR="0035058D" w:rsidRDefault="008B499F" w:rsidP="00403DEE">
            <w:pPr>
              <w:pStyle w:val="TableParagraph"/>
              <w:spacing w:line="249" w:lineRule="exact"/>
              <w:rPr>
                <w:lang w:val="fr"/>
              </w:rPr>
            </w:pPr>
            <w:r>
              <w:rPr>
                <w:lang w:val="fr"/>
              </w:rPr>
              <w:t>Anglais</w:t>
            </w:r>
          </w:p>
          <w:p w14:paraId="0AFE31AA" w14:textId="32A306D3" w:rsidR="00F745EE" w:rsidRDefault="00F745EE" w:rsidP="00403DEE">
            <w:pPr>
              <w:pStyle w:val="TableParagraph"/>
              <w:spacing w:line="249" w:lineRule="exact"/>
              <w:rPr>
                <w:lang w:val="fr"/>
              </w:rPr>
            </w:pPr>
            <w:r>
              <w:rPr>
                <w:lang w:val="fr"/>
              </w:rPr>
              <w:t>Chinois</w:t>
            </w:r>
          </w:p>
          <w:p w14:paraId="3349A72B" w14:textId="2B9EE048" w:rsidR="00F745EE" w:rsidRPr="00BE35DC" w:rsidRDefault="00F745EE" w:rsidP="00403DEE">
            <w:pPr>
              <w:pStyle w:val="TableParagraph"/>
              <w:spacing w:line="249" w:lineRule="exact"/>
              <w:rPr>
                <w:lang w:val="fr-FR"/>
              </w:rPr>
            </w:pPr>
            <w:r>
              <w:rPr>
                <w:lang w:val="fr"/>
              </w:rPr>
              <w:t>Coréen</w:t>
            </w:r>
          </w:p>
          <w:p w14:paraId="3BD97FE3" w14:textId="77777777" w:rsidR="00F745EE" w:rsidRDefault="008B499F" w:rsidP="00403DEE">
            <w:pPr>
              <w:pStyle w:val="TableParagraph"/>
              <w:ind w:right="555"/>
              <w:rPr>
                <w:lang w:val="fr"/>
              </w:rPr>
            </w:pPr>
            <w:r>
              <w:rPr>
                <w:lang w:val="fr"/>
              </w:rPr>
              <w:t>Espagnol</w:t>
            </w:r>
          </w:p>
          <w:p w14:paraId="223BD395" w14:textId="2038BDE3" w:rsidR="00F745EE" w:rsidRDefault="008B499F" w:rsidP="00403DEE">
            <w:pPr>
              <w:pStyle w:val="TableParagraph"/>
              <w:ind w:right="555"/>
              <w:rPr>
                <w:lang w:val="fr"/>
              </w:rPr>
            </w:pPr>
            <w:r>
              <w:rPr>
                <w:lang w:val="fr"/>
              </w:rPr>
              <w:t>Français</w:t>
            </w:r>
          </w:p>
          <w:p w14:paraId="10346653" w14:textId="57BA542B" w:rsidR="005164D1" w:rsidRPr="00BE35DC" w:rsidRDefault="008B499F" w:rsidP="00403DEE">
            <w:pPr>
              <w:pStyle w:val="TableParagraph"/>
              <w:ind w:right="555"/>
              <w:rPr>
                <w:lang w:val="fr-FR"/>
              </w:rPr>
            </w:pPr>
            <w:r>
              <w:rPr>
                <w:lang w:val="fr"/>
              </w:rPr>
              <w:t>Japonais</w:t>
            </w:r>
          </w:p>
          <w:p w14:paraId="45463287" w14:textId="2A5FA754" w:rsidR="00307797" w:rsidRPr="00F745EE" w:rsidRDefault="00307797" w:rsidP="00403DEE">
            <w:pPr>
              <w:pStyle w:val="TableParagraph"/>
              <w:ind w:right="555"/>
              <w:rPr>
                <w:lang w:val="fr-FR"/>
              </w:rPr>
            </w:pPr>
          </w:p>
        </w:tc>
        <w:tc>
          <w:tcPr>
            <w:tcW w:w="2826" w:type="dxa"/>
          </w:tcPr>
          <w:p w14:paraId="5D466AB3" w14:textId="77777777" w:rsidR="00F745EE" w:rsidRDefault="00F745EE" w:rsidP="00403DEE">
            <w:pPr>
              <w:pStyle w:val="TableParagraph"/>
              <w:spacing w:line="249" w:lineRule="exact"/>
              <w:ind w:left="575"/>
              <w:rPr>
                <w:lang w:val="fr"/>
              </w:rPr>
            </w:pPr>
            <w:r>
              <w:rPr>
                <w:lang w:val="fr"/>
              </w:rPr>
              <w:lastRenderedPageBreak/>
              <w:t>Allemand</w:t>
            </w:r>
          </w:p>
          <w:p w14:paraId="310D3D9C" w14:textId="08CF7F37" w:rsidR="0035058D" w:rsidRDefault="008B499F" w:rsidP="00403DEE">
            <w:pPr>
              <w:pStyle w:val="TableParagraph"/>
              <w:spacing w:line="249" w:lineRule="exact"/>
              <w:ind w:left="575"/>
              <w:rPr>
                <w:lang w:val="fr"/>
              </w:rPr>
            </w:pPr>
            <w:r>
              <w:rPr>
                <w:lang w:val="fr"/>
              </w:rPr>
              <w:t>Anglais</w:t>
            </w:r>
          </w:p>
          <w:p w14:paraId="6CFF1DB6" w14:textId="77777777" w:rsidR="00F745EE" w:rsidRDefault="00F745EE" w:rsidP="00F745EE">
            <w:pPr>
              <w:pStyle w:val="TableParagraph"/>
              <w:ind w:left="574" w:right="351"/>
              <w:rPr>
                <w:lang w:val="fr"/>
              </w:rPr>
            </w:pPr>
            <w:r>
              <w:rPr>
                <w:lang w:val="fr"/>
              </w:rPr>
              <w:t>Arabe</w:t>
            </w:r>
          </w:p>
          <w:p w14:paraId="02FAACC9" w14:textId="77777777" w:rsidR="00F745EE" w:rsidRDefault="00F745EE" w:rsidP="00F745EE">
            <w:pPr>
              <w:pStyle w:val="TableParagraph"/>
              <w:ind w:left="574" w:right="351"/>
              <w:rPr>
                <w:lang w:val="fr"/>
              </w:rPr>
            </w:pPr>
            <w:r>
              <w:rPr>
                <w:lang w:val="fr"/>
              </w:rPr>
              <w:t>Catalan</w:t>
            </w:r>
          </w:p>
          <w:p w14:paraId="0E4E6AD8" w14:textId="77777777" w:rsidR="00F745EE" w:rsidRDefault="00F745EE" w:rsidP="00F745EE">
            <w:pPr>
              <w:pStyle w:val="TableParagraph"/>
              <w:ind w:left="574" w:right="351"/>
              <w:rPr>
                <w:lang w:val="fr"/>
              </w:rPr>
            </w:pPr>
            <w:r>
              <w:rPr>
                <w:lang w:val="fr"/>
              </w:rPr>
              <w:t>Chinois</w:t>
            </w:r>
          </w:p>
          <w:p w14:paraId="6122F9FF" w14:textId="77777777" w:rsidR="00F745EE" w:rsidRPr="00BE35DC" w:rsidRDefault="00F745EE" w:rsidP="00F745EE">
            <w:pPr>
              <w:pStyle w:val="TableParagraph"/>
              <w:ind w:left="574" w:right="351"/>
              <w:rPr>
                <w:lang w:val="fr-FR"/>
              </w:rPr>
            </w:pPr>
            <w:r>
              <w:rPr>
                <w:lang w:val="fr"/>
              </w:rPr>
              <w:t>Coréen</w:t>
            </w:r>
          </w:p>
          <w:p w14:paraId="7330331F" w14:textId="77777777" w:rsidR="00F745EE" w:rsidRDefault="00F745EE" w:rsidP="00F745EE">
            <w:pPr>
              <w:pStyle w:val="TableParagraph"/>
              <w:ind w:left="574" w:right="351"/>
              <w:rPr>
                <w:lang w:val="fr"/>
              </w:rPr>
            </w:pPr>
            <w:r>
              <w:rPr>
                <w:lang w:val="fr"/>
              </w:rPr>
              <w:t>Danois</w:t>
            </w:r>
          </w:p>
          <w:p w14:paraId="2A13DA98" w14:textId="201D7EA8" w:rsidR="00F745EE" w:rsidRDefault="008B499F" w:rsidP="00403DEE">
            <w:pPr>
              <w:pStyle w:val="TableParagraph"/>
              <w:ind w:left="574" w:right="351"/>
              <w:rPr>
                <w:lang w:val="fr"/>
              </w:rPr>
            </w:pPr>
            <w:r>
              <w:rPr>
                <w:lang w:val="fr"/>
              </w:rPr>
              <w:lastRenderedPageBreak/>
              <w:t>Espagnol</w:t>
            </w:r>
          </w:p>
          <w:p w14:paraId="298EB1B9" w14:textId="6244BEC7" w:rsidR="00F745EE" w:rsidRDefault="00F745EE" w:rsidP="00F745EE">
            <w:pPr>
              <w:pStyle w:val="TableParagraph"/>
              <w:ind w:left="574" w:right="351"/>
              <w:rPr>
                <w:lang w:val="fr"/>
              </w:rPr>
            </w:pPr>
            <w:r>
              <w:rPr>
                <w:lang w:val="fr"/>
              </w:rPr>
              <w:t>Finnois</w:t>
            </w:r>
          </w:p>
          <w:p w14:paraId="1A50A701" w14:textId="0257B775" w:rsidR="00F745EE" w:rsidRDefault="008B499F" w:rsidP="00403DEE">
            <w:pPr>
              <w:pStyle w:val="TableParagraph"/>
              <w:ind w:left="574" w:right="351"/>
              <w:rPr>
                <w:lang w:val="fr"/>
              </w:rPr>
            </w:pPr>
            <w:r>
              <w:rPr>
                <w:lang w:val="fr"/>
              </w:rPr>
              <w:t>Français</w:t>
            </w:r>
          </w:p>
          <w:p w14:paraId="1217E1D0" w14:textId="77777777" w:rsidR="00F745EE" w:rsidRDefault="00F745EE" w:rsidP="00F745EE">
            <w:pPr>
              <w:pStyle w:val="TableParagraph"/>
              <w:ind w:left="574" w:right="351"/>
              <w:rPr>
                <w:lang w:val="fr"/>
              </w:rPr>
            </w:pPr>
            <w:r>
              <w:rPr>
                <w:lang w:val="fr"/>
              </w:rPr>
              <w:t>Grec</w:t>
            </w:r>
          </w:p>
          <w:p w14:paraId="31E97DD3" w14:textId="77777777" w:rsidR="00F745EE" w:rsidRDefault="00F745EE" w:rsidP="00F745EE">
            <w:pPr>
              <w:pStyle w:val="TableParagraph"/>
              <w:ind w:left="574" w:right="351"/>
              <w:rPr>
                <w:lang w:val="fr"/>
              </w:rPr>
            </w:pPr>
            <w:r>
              <w:rPr>
                <w:lang w:val="fr"/>
              </w:rPr>
              <w:t>Japonais</w:t>
            </w:r>
          </w:p>
          <w:p w14:paraId="655AD6FC" w14:textId="77777777" w:rsidR="00F745EE" w:rsidRDefault="00F745EE" w:rsidP="00F745EE">
            <w:pPr>
              <w:pStyle w:val="TableParagraph"/>
              <w:ind w:left="574" w:right="351"/>
              <w:rPr>
                <w:lang w:val="fr"/>
              </w:rPr>
            </w:pPr>
            <w:r>
              <w:rPr>
                <w:lang w:val="fr"/>
              </w:rPr>
              <w:t>Kazakh</w:t>
            </w:r>
          </w:p>
          <w:p w14:paraId="4B10BE33" w14:textId="77777777" w:rsidR="00F745EE" w:rsidRDefault="008B499F" w:rsidP="00403DEE">
            <w:pPr>
              <w:pStyle w:val="TableParagraph"/>
              <w:ind w:left="574" w:right="351"/>
              <w:rPr>
                <w:lang w:val="fr"/>
              </w:rPr>
            </w:pPr>
            <w:r>
              <w:rPr>
                <w:lang w:val="fr"/>
              </w:rPr>
              <w:t>Néerlandais</w:t>
            </w:r>
          </w:p>
          <w:p w14:paraId="2298BE2E" w14:textId="77777777" w:rsidR="0035058D" w:rsidRDefault="008B499F" w:rsidP="00403DEE">
            <w:pPr>
              <w:pStyle w:val="TableParagraph"/>
              <w:spacing w:before="1" w:line="245" w:lineRule="exact"/>
              <w:ind w:left="575"/>
            </w:pPr>
            <w:r>
              <w:rPr>
                <w:lang w:val="fr"/>
              </w:rPr>
              <w:t>Norvégien</w:t>
            </w:r>
          </w:p>
        </w:tc>
      </w:tr>
      <w:tr w:rsidR="00807854" w14:paraId="1A4D5644" w14:textId="77777777" w:rsidTr="00807854">
        <w:trPr>
          <w:trHeight w:val="620"/>
        </w:trPr>
        <w:tc>
          <w:tcPr>
            <w:tcW w:w="2460" w:type="dxa"/>
          </w:tcPr>
          <w:p w14:paraId="0FCB98D0" w14:textId="77777777" w:rsidR="00807854" w:rsidRDefault="00807854" w:rsidP="00403DEE">
            <w:pPr>
              <w:pStyle w:val="TableParagraph"/>
              <w:spacing w:line="249" w:lineRule="exact"/>
              <w:rPr>
                <w:lang w:val="fr"/>
              </w:rPr>
            </w:pPr>
          </w:p>
        </w:tc>
        <w:tc>
          <w:tcPr>
            <w:tcW w:w="2826" w:type="dxa"/>
          </w:tcPr>
          <w:p w14:paraId="10B21146" w14:textId="77777777" w:rsidR="00807854" w:rsidRDefault="00807854" w:rsidP="00403DEE">
            <w:pPr>
              <w:pStyle w:val="TableParagraph"/>
              <w:spacing w:line="249" w:lineRule="exact"/>
              <w:ind w:left="575"/>
              <w:rPr>
                <w:lang w:val="fr"/>
              </w:rPr>
            </w:pPr>
          </w:p>
        </w:tc>
      </w:tr>
    </w:tbl>
    <w:p w14:paraId="519EB2D2" w14:textId="77777777" w:rsidR="0035058D" w:rsidRDefault="008B499F" w:rsidP="00403DEE">
      <w:pPr>
        <w:pStyle w:val="Heading1"/>
        <w:numPr>
          <w:ilvl w:val="0"/>
          <w:numId w:val="2"/>
        </w:numPr>
        <w:tabs>
          <w:tab w:val="left" w:pos="476"/>
        </w:tabs>
        <w:ind w:left="475" w:hanging="358"/>
      </w:pPr>
      <w:r>
        <w:rPr>
          <w:lang w:val="fr"/>
        </w:rPr>
        <w:t>Principes de nomination</w:t>
      </w:r>
    </w:p>
    <w:p w14:paraId="503F09B0" w14:textId="77777777" w:rsidR="0035058D" w:rsidRPr="00BE35DC" w:rsidRDefault="008B499F" w:rsidP="00A45644">
      <w:pPr>
        <w:pStyle w:val="BodyText"/>
        <w:spacing w:before="185"/>
        <w:ind w:left="477" w:right="209"/>
        <w:jc w:val="both"/>
        <w:rPr>
          <w:lang w:val="fr-FR"/>
        </w:rPr>
      </w:pPr>
      <w:r>
        <w:rPr>
          <w:lang w:val="fr"/>
        </w:rPr>
        <w:t>Si un candidat satisfait aux exigences indiquées plus haut, sa candidature sera étudiée pour évaluer le PEI, le Programme du diplôme ou le POP. Néanmoins, l’IB se réserve le droit d’émettre un jugement global sur chaque candidature.</w:t>
      </w:r>
    </w:p>
    <w:p w14:paraId="1D639841" w14:textId="77777777" w:rsidR="0035058D" w:rsidRPr="00BE35DC" w:rsidRDefault="0035058D" w:rsidP="00151D3C">
      <w:pPr>
        <w:pStyle w:val="BodyText"/>
        <w:spacing w:before="10"/>
        <w:jc w:val="both"/>
        <w:rPr>
          <w:sz w:val="23"/>
          <w:lang w:val="fr-FR"/>
        </w:rPr>
      </w:pPr>
    </w:p>
    <w:p w14:paraId="10D4BDFF" w14:textId="581376CF" w:rsidR="0035058D" w:rsidRDefault="008B499F" w:rsidP="00A45644">
      <w:pPr>
        <w:pStyle w:val="BodyText"/>
        <w:spacing w:line="259" w:lineRule="auto"/>
        <w:ind w:left="477" w:right="209"/>
        <w:jc w:val="both"/>
        <w:rPr>
          <w:lang w:val="fr"/>
        </w:rPr>
      </w:pPr>
      <w:r>
        <w:rPr>
          <w:lang w:val="fr"/>
        </w:rPr>
        <w:t>En raison de la nature du modèle d’évaluation de certaines composantes, les examinateurs qui notent dans une langue autre que l’anglais pourront être tenus de noter des réponses en anglais. Il faudra alors que les candidats à ces matières soient bilingues. Cette exigence pourra être prise en compte dans le cadre du processus de candidature ou après la nomination.</w:t>
      </w:r>
    </w:p>
    <w:p w14:paraId="7DC1D22A" w14:textId="0FA895D7" w:rsidR="00017FE4" w:rsidRDefault="00017FE4" w:rsidP="00A45644">
      <w:pPr>
        <w:pStyle w:val="BodyText"/>
        <w:spacing w:line="259" w:lineRule="auto"/>
        <w:ind w:left="477" w:right="209"/>
        <w:jc w:val="both"/>
        <w:rPr>
          <w:lang w:val="fr"/>
        </w:rPr>
      </w:pPr>
    </w:p>
    <w:p w14:paraId="518900E4" w14:textId="497298D0" w:rsidR="00017FE4" w:rsidRPr="00BE35DC" w:rsidRDefault="00017FE4" w:rsidP="00A45644">
      <w:pPr>
        <w:pStyle w:val="BodyText"/>
        <w:spacing w:line="259" w:lineRule="auto"/>
        <w:ind w:left="477" w:right="209"/>
        <w:jc w:val="both"/>
        <w:rPr>
          <w:lang w:val="fr-FR"/>
        </w:rPr>
      </w:pPr>
      <w:r w:rsidRPr="00017FE4">
        <w:rPr>
          <w:lang w:val="fr-FR"/>
        </w:rPr>
        <w:t>Si sa candidature est acceptée, le candidat ou la candidate doit renoncer à tout rôle lié au service « Élaboration d’un programme d’études de qualité » occupé actuellement.</w:t>
      </w:r>
    </w:p>
    <w:p w14:paraId="4C89A4F2" w14:textId="77777777" w:rsidR="0035058D" w:rsidRPr="00BE35DC" w:rsidRDefault="0035058D" w:rsidP="00151D3C">
      <w:pPr>
        <w:pStyle w:val="BodyText"/>
        <w:spacing w:before="9"/>
        <w:jc w:val="both"/>
        <w:rPr>
          <w:sz w:val="23"/>
          <w:lang w:val="fr-FR"/>
        </w:rPr>
      </w:pPr>
    </w:p>
    <w:p w14:paraId="5789B26D" w14:textId="77777777" w:rsidR="0035058D" w:rsidRPr="00BE35DC" w:rsidRDefault="008B499F" w:rsidP="00A45644">
      <w:pPr>
        <w:pStyle w:val="BodyText"/>
        <w:spacing w:line="259" w:lineRule="auto"/>
        <w:ind w:left="477" w:right="209"/>
        <w:jc w:val="both"/>
        <w:rPr>
          <w:lang w:val="fr-FR"/>
        </w:rPr>
      </w:pPr>
      <w:r>
        <w:rPr>
          <w:lang w:val="fr"/>
        </w:rPr>
        <w:t>Dans le cadre du Programme du diplôme ou du POP, le candidat sera nommé pour une matière et deux composantes lorsque la période d’évaluation d’une composante ne chevauche pas celle d’une autre ou lorsque la nature de l’évaluation d’une matière impose aux examinateurs d’évaluer plusieurs composantes.</w:t>
      </w:r>
    </w:p>
    <w:p w14:paraId="588EE99F" w14:textId="77777777" w:rsidR="0035058D" w:rsidRPr="00BE35DC" w:rsidRDefault="0035058D" w:rsidP="00151D3C">
      <w:pPr>
        <w:pStyle w:val="BodyText"/>
        <w:spacing w:before="9"/>
        <w:jc w:val="both"/>
        <w:rPr>
          <w:sz w:val="23"/>
          <w:lang w:val="fr-FR"/>
        </w:rPr>
      </w:pPr>
    </w:p>
    <w:p w14:paraId="7DA5536C" w14:textId="77777777" w:rsidR="0035058D" w:rsidRPr="00BE35DC" w:rsidRDefault="008B499F" w:rsidP="00A45644">
      <w:pPr>
        <w:pStyle w:val="BodyText"/>
        <w:spacing w:line="259" w:lineRule="auto"/>
        <w:ind w:left="477" w:right="209"/>
        <w:jc w:val="both"/>
        <w:rPr>
          <w:lang w:val="fr-FR"/>
        </w:rPr>
      </w:pPr>
      <w:r>
        <w:rPr>
          <w:lang w:val="fr"/>
        </w:rPr>
        <w:t xml:space="preserve">Dans le cadre du PEI, le candidat sera nommé pour une composante anticipée et une composante ultérieure. Une composante anticipée correspond </w:t>
      </w:r>
      <w:r>
        <w:rPr>
          <w:b/>
          <w:bCs/>
          <w:lang w:val="fr"/>
        </w:rPr>
        <w:t>soit</w:t>
      </w:r>
      <w:r>
        <w:rPr>
          <w:lang w:val="fr"/>
        </w:rPr>
        <w:t xml:space="preserve"> à une matière choisie pour un portfolio électronique, </w:t>
      </w:r>
      <w:r>
        <w:rPr>
          <w:b/>
          <w:bCs/>
          <w:lang w:val="fr"/>
        </w:rPr>
        <w:t>soit</w:t>
      </w:r>
      <w:r>
        <w:rPr>
          <w:lang w:val="fr"/>
        </w:rPr>
        <w:t xml:space="preserve"> au projet personnel. Une composante ultérieure correspond </w:t>
      </w:r>
      <w:r>
        <w:rPr>
          <w:b/>
          <w:bCs/>
          <w:lang w:val="fr"/>
        </w:rPr>
        <w:t>soit</w:t>
      </w:r>
      <w:r>
        <w:rPr>
          <w:lang w:val="fr"/>
        </w:rPr>
        <w:t xml:space="preserve"> à</w:t>
      </w:r>
      <w:r>
        <w:rPr>
          <w:b/>
          <w:bCs/>
          <w:lang w:val="fr"/>
        </w:rPr>
        <w:t xml:space="preserve"> </w:t>
      </w:r>
      <w:r>
        <w:rPr>
          <w:lang w:val="fr"/>
        </w:rPr>
        <w:t xml:space="preserve">une matière concernée par un examen sur ordinateur, </w:t>
      </w:r>
      <w:r>
        <w:rPr>
          <w:b/>
          <w:bCs/>
          <w:lang w:val="fr"/>
        </w:rPr>
        <w:t>soit</w:t>
      </w:r>
      <w:r>
        <w:rPr>
          <w:lang w:val="fr"/>
        </w:rPr>
        <w:t xml:space="preserve"> à l’examen interdisciplinaire. Pour que sa candidature soit prise en compte pour évaluer le projet personnel, le candidat </w:t>
      </w:r>
      <w:r>
        <w:rPr>
          <w:b/>
          <w:bCs/>
          <w:lang w:val="fr"/>
        </w:rPr>
        <w:t>doit</w:t>
      </w:r>
      <w:r>
        <w:rPr>
          <w:lang w:val="fr"/>
        </w:rPr>
        <w:t xml:space="preserve"> déjà enseigner dans une école du monde de l’IB qui propose le PEI.</w:t>
      </w:r>
    </w:p>
    <w:p w14:paraId="4A7E4E32" w14:textId="77777777" w:rsidR="0035058D" w:rsidRPr="00BE35DC" w:rsidRDefault="0035058D" w:rsidP="00151D3C">
      <w:pPr>
        <w:pStyle w:val="BodyText"/>
        <w:spacing w:before="6"/>
        <w:jc w:val="both"/>
        <w:rPr>
          <w:sz w:val="23"/>
          <w:lang w:val="fr-FR"/>
        </w:rPr>
      </w:pPr>
    </w:p>
    <w:p w14:paraId="6A8AA6A8" w14:textId="77777777" w:rsidR="0035058D" w:rsidRPr="00BE35DC" w:rsidRDefault="008B499F" w:rsidP="00A45644">
      <w:pPr>
        <w:ind w:left="477" w:right="209"/>
        <w:jc w:val="both"/>
        <w:rPr>
          <w:lang w:val="fr-FR"/>
        </w:rPr>
      </w:pPr>
      <w:r>
        <w:rPr>
          <w:lang w:val="fr"/>
        </w:rPr>
        <w:t>Le volume de travail proposé aux candidats retenus varie en fonction de leurs relations avec les écoles du monde de l’IB et des exigences actuelles de l’IB pour les examinateurs.</w:t>
      </w:r>
    </w:p>
    <w:p w14:paraId="64287AB5" w14:textId="77777777" w:rsidR="0035058D" w:rsidRPr="00BE35DC" w:rsidRDefault="0035058D" w:rsidP="00151D3C">
      <w:pPr>
        <w:pStyle w:val="BodyText"/>
        <w:spacing w:before="7"/>
        <w:jc w:val="both"/>
        <w:rPr>
          <w:sz w:val="25"/>
          <w:lang w:val="fr-FR"/>
        </w:rPr>
      </w:pPr>
    </w:p>
    <w:p w14:paraId="7FF85F5F" w14:textId="77777777" w:rsidR="0035058D" w:rsidRPr="00BE35DC" w:rsidRDefault="008B499F" w:rsidP="00A45644">
      <w:pPr>
        <w:pStyle w:val="BodyText"/>
        <w:spacing w:line="259" w:lineRule="auto"/>
        <w:ind w:left="477" w:right="209"/>
        <w:jc w:val="both"/>
        <w:rPr>
          <w:lang w:val="fr-FR"/>
        </w:rPr>
      </w:pPr>
      <w:r>
        <w:rPr>
          <w:lang w:val="fr"/>
        </w:rPr>
        <w:t>Lorsque peu d’élèves sont inscrits à une matière, les examinateurs ne doivent avoir de relations avec aucune des écoles du monde de l’IB qui inscrivent des élèves à la matière concernée. Il ne sera donc pas possible de nommer un examinateur pour cette matière, si celui-ci se trouve en situation de conflit d’intérêts.</w:t>
      </w:r>
    </w:p>
    <w:p w14:paraId="766FB5BF" w14:textId="77777777" w:rsidR="0076549C" w:rsidRPr="00BE35DC" w:rsidRDefault="0076549C" w:rsidP="00A45644">
      <w:pPr>
        <w:pStyle w:val="NormalWeb"/>
        <w:ind w:left="477" w:right="209"/>
        <w:jc w:val="both"/>
        <w:rPr>
          <w:rFonts w:ascii="Calibri" w:hAnsi="Calibri" w:cs="Calibri"/>
          <w:sz w:val="22"/>
          <w:szCs w:val="22"/>
          <w:lang w:val="fr-FR"/>
        </w:rPr>
      </w:pPr>
      <w:r>
        <w:rPr>
          <w:rFonts w:ascii="Calibri" w:hAnsi="Calibri" w:cs="Calibri"/>
          <w:sz w:val="22"/>
          <w:szCs w:val="22"/>
          <w:lang w:val="fr"/>
        </w:rPr>
        <w:t>Afin d’assurer la cohérence des normes de notation, les examinateurs peuvent être amenés à noter des réponses dans la langue utilisée pour établir le modèle d’assurance de la qualité (généralement l’anglais). C’est pourquoi les candidats pour ces matières doivent être bilingues comme cela est mentionné dans l’annonce du poste sur le site Web de l’IB (</w:t>
      </w:r>
      <w:hyperlink r:id="rId13" w:history="1">
        <w:r>
          <w:rPr>
            <w:rStyle w:val="Hyperlink"/>
            <w:rFonts w:ascii="Calibri" w:hAnsi="Calibri" w:cs="Calibri"/>
            <w:sz w:val="22"/>
            <w:szCs w:val="22"/>
            <w:lang w:val="fr"/>
          </w:rPr>
          <w:t>https://www.ibo.org/fr/examiners</w:t>
        </w:r>
      </w:hyperlink>
      <w:r>
        <w:rPr>
          <w:rFonts w:ascii="Calibri" w:hAnsi="Calibri" w:cs="Calibri"/>
          <w:sz w:val="22"/>
          <w:szCs w:val="22"/>
          <w:lang w:val="fr"/>
        </w:rPr>
        <w:t>). Cette exigence pourra être prise en compte dans le cadre du processus de candidature ou après la nomination.</w:t>
      </w:r>
    </w:p>
    <w:p w14:paraId="369C5281" w14:textId="70DB1149" w:rsidR="0076549C" w:rsidRPr="00BE35DC" w:rsidRDefault="0076549C" w:rsidP="00A45644">
      <w:pPr>
        <w:pStyle w:val="NormalWeb"/>
        <w:tabs>
          <w:tab w:val="left" w:pos="9781"/>
        </w:tabs>
        <w:ind w:left="477" w:right="209"/>
        <w:jc w:val="both"/>
        <w:rPr>
          <w:rFonts w:ascii="Calibri" w:hAnsi="Calibri" w:cs="Calibri"/>
          <w:sz w:val="22"/>
          <w:szCs w:val="22"/>
          <w:lang w:val="fr-FR"/>
        </w:rPr>
      </w:pPr>
      <w:r>
        <w:rPr>
          <w:rFonts w:ascii="Calibri" w:hAnsi="Calibri" w:cs="Calibri"/>
          <w:sz w:val="22"/>
          <w:szCs w:val="22"/>
          <w:lang w:val="fr"/>
        </w:rPr>
        <w:lastRenderedPageBreak/>
        <w:t>Pour la plupart des matières, les candidats souhaitant évaluer des élèves dans une langue qui n’est pas leur première langue doivent démontrer un</w:t>
      </w:r>
      <w:r>
        <w:rPr>
          <w:rFonts w:ascii="Calibri" w:hAnsi="Calibri" w:cs="Calibri"/>
          <w:b/>
          <w:bCs/>
          <w:sz w:val="22"/>
          <w:szCs w:val="22"/>
          <w:lang w:val="fr"/>
        </w:rPr>
        <w:t xml:space="preserve"> niveau de connaissances avancé </w:t>
      </w:r>
      <w:r>
        <w:rPr>
          <w:rFonts w:ascii="Calibri" w:hAnsi="Calibri" w:cs="Calibri"/>
          <w:sz w:val="22"/>
          <w:szCs w:val="22"/>
          <w:lang w:val="fr"/>
        </w:rPr>
        <w:t>dans la langue d’usage pour pouvoir évaluer les élèves et rédiger des rapports</w:t>
      </w:r>
      <w:r w:rsidR="00017FE4">
        <w:rPr>
          <w:rFonts w:ascii="Calibri" w:hAnsi="Calibri" w:cs="Calibri"/>
          <w:sz w:val="22"/>
          <w:szCs w:val="22"/>
          <w:lang w:val="fr"/>
        </w:rPr>
        <w:t xml:space="preserve"> (</w:t>
      </w:r>
      <w:hyperlink r:id="rId14" w:history="1">
        <w:r>
          <w:rPr>
            <w:rStyle w:val="Hyperlink"/>
            <w:rFonts w:ascii="Calibri" w:hAnsi="Calibri" w:cs="Calibri"/>
            <w:sz w:val="22"/>
            <w:szCs w:val="22"/>
            <w:lang w:val="fr"/>
          </w:rPr>
          <w:t>Cadre européen commun de référence pour les langues</w:t>
        </w:r>
      </w:hyperlink>
      <w:r>
        <w:rPr>
          <w:rFonts w:ascii="Calibri" w:hAnsi="Calibri" w:cs="Calibri"/>
          <w:sz w:val="22"/>
          <w:szCs w:val="22"/>
          <w:lang w:val="fr"/>
        </w:rPr>
        <w:t>).</w:t>
      </w:r>
    </w:p>
    <w:p w14:paraId="2615EAEB" w14:textId="2940956F" w:rsidR="0076549C" w:rsidRPr="00BE35DC" w:rsidRDefault="0076549C" w:rsidP="006B2957">
      <w:pPr>
        <w:pStyle w:val="NormalWeb"/>
        <w:ind w:left="477" w:right="209"/>
        <w:jc w:val="both"/>
        <w:rPr>
          <w:rFonts w:ascii="Calibri" w:hAnsi="Calibri" w:cs="Calibri"/>
          <w:sz w:val="22"/>
          <w:szCs w:val="22"/>
          <w:lang w:val="fr-FR"/>
        </w:rPr>
      </w:pPr>
      <w:r>
        <w:rPr>
          <w:rFonts w:ascii="Calibri" w:hAnsi="Calibri" w:cs="Calibri"/>
          <w:sz w:val="22"/>
          <w:szCs w:val="22"/>
          <w:lang w:val="fr"/>
        </w:rPr>
        <w:t xml:space="preserve">Pour les mathématiques et les sciences, les candidats qui sont à l’aise pour s’exprimer dans la langue d’usage peuvent être acceptés s’ils démontrent un </w:t>
      </w:r>
      <w:r>
        <w:rPr>
          <w:rFonts w:ascii="Calibri" w:hAnsi="Calibri" w:cs="Calibri"/>
          <w:b/>
          <w:bCs/>
          <w:sz w:val="22"/>
          <w:szCs w:val="22"/>
          <w:lang w:val="fr"/>
        </w:rPr>
        <w:t>niveau intermédiaire supérieur</w:t>
      </w:r>
      <w:r>
        <w:rPr>
          <w:rFonts w:ascii="Calibri" w:hAnsi="Calibri" w:cs="Calibri"/>
          <w:sz w:val="22"/>
          <w:szCs w:val="22"/>
          <w:lang w:val="fr"/>
        </w:rPr>
        <w:t xml:space="preserve"> (</w:t>
      </w:r>
      <w:bookmarkStart w:id="0" w:name="_Hlk115687080"/>
      <w:r w:rsidR="00966D63">
        <w:fldChar w:fldCharType="begin"/>
      </w:r>
      <w:r w:rsidR="00966D63">
        <w:instrText xml:space="preserve"> HYPERLINK "https://www.coe.int/fr/web/common-eu</w:instrText>
      </w:r>
      <w:r w:rsidR="00966D63">
        <w:instrText xml:space="preserve">ropean-framework-reference-languages/table-1-cefr-3.3-common-reference-levels-global-scale" </w:instrText>
      </w:r>
      <w:r w:rsidR="00966D63">
        <w:fldChar w:fldCharType="separate"/>
      </w:r>
      <w:r>
        <w:rPr>
          <w:rStyle w:val="Hyperlink"/>
          <w:rFonts w:ascii="Calibri" w:hAnsi="Calibri" w:cs="Calibri"/>
          <w:sz w:val="22"/>
          <w:szCs w:val="22"/>
          <w:lang w:val="fr"/>
        </w:rPr>
        <w:t>Cadre européen commun de référence pour les langues</w:t>
      </w:r>
      <w:r w:rsidR="00966D63">
        <w:rPr>
          <w:rStyle w:val="Hyperlink"/>
          <w:rFonts w:ascii="Calibri" w:hAnsi="Calibri" w:cs="Calibri"/>
          <w:sz w:val="22"/>
          <w:szCs w:val="22"/>
          <w:lang w:val="fr"/>
        </w:rPr>
        <w:fldChar w:fldCharType="end"/>
      </w:r>
      <w:bookmarkEnd w:id="0"/>
      <w:r>
        <w:rPr>
          <w:rFonts w:ascii="Calibri" w:hAnsi="Calibri" w:cs="Calibri"/>
          <w:sz w:val="22"/>
          <w:szCs w:val="22"/>
          <w:lang w:val="fr"/>
        </w:rPr>
        <w:t>).</w:t>
      </w:r>
    </w:p>
    <w:p w14:paraId="31E1FADC" w14:textId="16ACEB34" w:rsidR="0076549C" w:rsidRPr="00BE35DC" w:rsidRDefault="0076549C" w:rsidP="006B2957">
      <w:pPr>
        <w:pStyle w:val="NormalWeb"/>
        <w:ind w:left="477" w:right="209"/>
        <w:jc w:val="both"/>
        <w:rPr>
          <w:rFonts w:ascii="Calibri" w:hAnsi="Calibri" w:cs="Calibri"/>
          <w:sz w:val="22"/>
          <w:szCs w:val="22"/>
          <w:lang w:val="fr-FR"/>
        </w:rPr>
      </w:pPr>
      <w:r>
        <w:rPr>
          <w:rFonts w:ascii="Calibri" w:hAnsi="Calibri" w:cs="Calibri"/>
          <w:sz w:val="22"/>
          <w:szCs w:val="22"/>
          <w:lang w:val="fr"/>
        </w:rPr>
        <w:t>Les examinateurs doivent uniquement préciser qu’ils peuvent évaluer les élèves dans une langue s’ils satisfont à ces exigences</w:t>
      </w:r>
      <w:r w:rsidR="00017FE4">
        <w:rPr>
          <w:rFonts w:ascii="Calibri" w:hAnsi="Calibri" w:cs="Calibri"/>
          <w:sz w:val="22"/>
          <w:szCs w:val="22"/>
          <w:lang w:val="fr"/>
        </w:rPr>
        <w:t xml:space="preserve"> (</w:t>
      </w:r>
      <w:hyperlink r:id="rId15" w:history="1">
        <w:r w:rsidR="00017FE4" w:rsidRPr="00017FE4">
          <w:rPr>
            <w:rStyle w:val="Hyperlink"/>
            <w:rFonts w:ascii="Calibri" w:hAnsi="Calibri" w:cs="Calibri"/>
            <w:sz w:val="22"/>
            <w:szCs w:val="22"/>
            <w:lang w:val="fr"/>
          </w:rPr>
          <w:t>Cadre européen commun de référence</w:t>
        </w:r>
        <w:r w:rsidR="00017FE4" w:rsidRPr="00017FE4">
          <w:rPr>
            <w:rStyle w:val="Hyperlink"/>
            <w:rFonts w:ascii="Calibri" w:hAnsi="Calibri" w:cs="Calibri"/>
            <w:sz w:val="22"/>
            <w:szCs w:val="22"/>
            <w:lang w:val="fr"/>
          </w:rPr>
          <w:t xml:space="preserve"> pour les langues</w:t>
        </w:r>
      </w:hyperlink>
      <w:r w:rsidR="00017FE4">
        <w:rPr>
          <w:rFonts w:ascii="Calibri" w:hAnsi="Calibri" w:cs="Calibri"/>
          <w:sz w:val="22"/>
          <w:szCs w:val="22"/>
          <w:lang w:val="fr"/>
        </w:rPr>
        <w:t>).</w:t>
      </w:r>
    </w:p>
    <w:p w14:paraId="45619A52" w14:textId="77777777" w:rsidR="0076549C" w:rsidRPr="00BE35DC" w:rsidRDefault="0076549C" w:rsidP="006B2957">
      <w:pPr>
        <w:pStyle w:val="NormalWeb"/>
        <w:ind w:left="477" w:right="209"/>
        <w:jc w:val="both"/>
        <w:rPr>
          <w:rFonts w:ascii="Segoe UI" w:hAnsi="Segoe UI" w:cs="Segoe UI"/>
          <w:sz w:val="21"/>
          <w:szCs w:val="21"/>
          <w:lang w:val="fr-FR"/>
        </w:rPr>
      </w:pPr>
      <w:r>
        <w:rPr>
          <w:rFonts w:asciiTheme="minorHAnsi" w:hAnsiTheme="minorHAnsi"/>
          <w:sz w:val="22"/>
          <w:szCs w:val="22"/>
          <w:lang w:val="fr"/>
        </w:rPr>
        <w:t xml:space="preserve">Les examinateurs ne seront nommés que pour les langues pour lesquelles ils ont déclaré avoir le niveau de compétences requis. </w:t>
      </w:r>
      <w:r>
        <w:rPr>
          <w:rFonts w:ascii="Calibri" w:hAnsi="Calibri"/>
          <w:sz w:val="22"/>
          <w:szCs w:val="22"/>
          <w:lang w:val="fr"/>
        </w:rPr>
        <w:t>Une nomination en tant qu’examinateur se fait selon les compétences linguistiques déclarées. Elle peut donc être retirée si l’examinateur ne peut pas ou ne souhaite pas évaluer dans toutes les langues indiquées.</w:t>
      </w:r>
    </w:p>
    <w:p w14:paraId="4C6A11CE" w14:textId="77777777" w:rsidR="0035058D" w:rsidRPr="00BE35DC" w:rsidRDefault="008B499F" w:rsidP="006B2957">
      <w:pPr>
        <w:pStyle w:val="BodyText"/>
        <w:ind w:left="477" w:right="67"/>
        <w:jc w:val="both"/>
        <w:rPr>
          <w:lang w:val="fr-FR"/>
        </w:rPr>
      </w:pPr>
      <w:r>
        <w:rPr>
          <w:lang w:val="fr"/>
        </w:rPr>
        <w:t>L’IB doit respecter la législation de tous les pays dans lesquels les examinateurs sont recrutés.</w:t>
      </w:r>
    </w:p>
    <w:p w14:paraId="1C39F9C2" w14:textId="77777777" w:rsidR="0035058D" w:rsidRPr="00BE35DC" w:rsidRDefault="0035058D" w:rsidP="00403DEE">
      <w:pPr>
        <w:rPr>
          <w:lang w:val="fr-FR"/>
        </w:rPr>
        <w:sectPr w:rsidR="0035058D" w:rsidRPr="00BE35DC" w:rsidSect="00791E64">
          <w:headerReference w:type="default" r:id="rId16"/>
          <w:pgSz w:w="11910" w:h="16840"/>
          <w:pgMar w:top="1620" w:right="995" w:bottom="1100" w:left="960" w:header="709" w:footer="918" w:gutter="0"/>
          <w:cols w:space="720"/>
        </w:sectPr>
      </w:pPr>
    </w:p>
    <w:p w14:paraId="2EBA4643" w14:textId="77777777" w:rsidR="00017FE4" w:rsidRDefault="00017FE4" w:rsidP="00017FE4">
      <w:pPr>
        <w:jc w:val="both"/>
        <w:rPr>
          <w:sz w:val="28"/>
          <w:szCs w:val="28"/>
        </w:rPr>
      </w:pPr>
    </w:p>
    <w:p w14:paraId="075B07C5" w14:textId="6880C2B3" w:rsidR="00017FE4" w:rsidRDefault="00017FE4" w:rsidP="00017FE4">
      <w:pPr>
        <w:jc w:val="both"/>
        <w:rPr>
          <w:rFonts w:asciiTheme="minorHAnsi" w:eastAsiaTheme="minorHAnsi" w:hAnsiTheme="minorHAnsi" w:cstheme="minorBidi"/>
          <w:sz w:val="28"/>
          <w:szCs w:val="28"/>
          <w:lang w:val="fr-FR" w:bidi="ar-SA"/>
        </w:rPr>
      </w:pPr>
      <w:r>
        <w:rPr>
          <w:sz w:val="28"/>
          <w:szCs w:val="28"/>
        </w:rPr>
        <w:t>Annexe A</w:t>
      </w:r>
    </w:p>
    <w:p w14:paraId="4A45BAE7" w14:textId="77777777" w:rsidR="00017FE4" w:rsidRDefault="00017FE4" w:rsidP="00017FE4">
      <w:pPr>
        <w:jc w:val="both"/>
        <w:rPr>
          <w:sz w:val="24"/>
          <w:szCs w:val="24"/>
          <w:lang w:val="fr-FR"/>
        </w:rPr>
      </w:pPr>
    </w:p>
    <w:p w14:paraId="701FFB71" w14:textId="77777777" w:rsidR="00017FE4" w:rsidRDefault="00017FE4" w:rsidP="00017FE4">
      <w:pPr>
        <w:jc w:val="both"/>
        <w:rPr>
          <w:sz w:val="24"/>
          <w:szCs w:val="24"/>
          <w:lang w:val="fr-FR"/>
        </w:rPr>
      </w:pPr>
      <w:r>
        <w:rPr>
          <w:sz w:val="24"/>
          <w:szCs w:val="24"/>
        </w:rPr>
        <w:t xml:space="preserve">Les matières </w:t>
      </w:r>
      <w:proofErr w:type="spellStart"/>
      <w:r>
        <w:rPr>
          <w:sz w:val="24"/>
          <w:szCs w:val="24"/>
        </w:rPr>
        <w:t>présentes</w:t>
      </w:r>
      <w:proofErr w:type="spellEnd"/>
      <w:r>
        <w:rPr>
          <w:sz w:val="24"/>
          <w:szCs w:val="24"/>
        </w:rPr>
        <w:t xml:space="preserve"> dans le tableau ci-dessous </w:t>
      </w:r>
      <w:proofErr w:type="spellStart"/>
      <w:r>
        <w:rPr>
          <w:sz w:val="24"/>
          <w:szCs w:val="24"/>
        </w:rPr>
        <w:t>peuvent</w:t>
      </w:r>
      <w:proofErr w:type="spellEnd"/>
      <w:r>
        <w:rPr>
          <w:sz w:val="24"/>
          <w:szCs w:val="24"/>
        </w:rPr>
        <w:t xml:space="preserve"> </w:t>
      </w:r>
      <w:proofErr w:type="spellStart"/>
      <w:r>
        <w:rPr>
          <w:sz w:val="24"/>
          <w:szCs w:val="24"/>
        </w:rPr>
        <w:t>être</w:t>
      </w:r>
      <w:proofErr w:type="spellEnd"/>
      <w:r>
        <w:rPr>
          <w:sz w:val="24"/>
          <w:szCs w:val="24"/>
        </w:rPr>
        <w:t xml:space="preserve"> </w:t>
      </w:r>
      <w:proofErr w:type="spellStart"/>
      <w:r>
        <w:rPr>
          <w:sz w:val="24"/>
          <w:szCs w:val="24"/>
        </w:rPr>
        <w:t>évaluées</w:t>
      </w:r>
      <w:proofErr w:type="spellEnd"/>
      <w:r>
        <w:rPr>
          <w:sz w:val="24"/>
          <w:szCs w:val="24"/>
        </w:rPr>
        <w:t xml:space="preserve"> de manière </w:t>
      </w:r>
      <w:proofErr w:type="spellStart"/>
      <w:r>
        <w:rPr>
          <w:sz w:val="24"/>
          <w:szCs w:val="24"/>
        </w:rPr>
        <w:t>monolingue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anglais</w:t>
      </w:r>
      <w:proofErr w:type="spellEnd"/>
      <w:r>
        <w:rPr>
          <w:sz w:val="24"/>
          <w:szCs w:val="24"/>
        </w:rPr>
        <w:t xml:space="preserve"> </w:t>
      </w:r>
      <w:r>
        <w:rPr>
          <w:rFonts w:ascii="Segoe UI" w:hAnsi="Segoe UI"/>
          <w:sz w:val="21"/>
          <w:szCs w:val="21"/>
        </w:rPr>
        <w:t>(</w:t>
      </w:r>
      <w:proofErr w:type="spellStart"/>
      <w:r>
        <w:rPr>
          <w:rFonts w:ascii="Segoe UI" w:hAnsi="Segoe UI"/>
          <w:sz w:val="21"/>
          <w:szCs w:val="21"/>
        </w:rPr>
        <w:t>sauf</w:t>
      </w:r>
      <w:proofErr w:type="spellEnd"/>
      <w:r>
        <w:rPr>
          <w:rFonts w:ascii="Segoe UI" w:hAnsi="Segoe UI"/>
          <w:sz w:val="21"/>
          <w:szCs w:val="21"/>
        </w:rPr>
        <w:t xml:space="preserve"> indication contraire)</w:t>
      </w:r>
      <w:r>
        <w:rPr>
          <w:sz w:val="24"/>
          <w:szCs w:val="24"/>
        </w:rPr>
        <w:t xml:space="preserve"> et dans les </w:t>
      </w:r>
      <w:proofErr w:type="spellStart"/>
      <w:r>
        <w:rPr>
          <w:sz w:val="24"/>
          <w:szCs w:val="24"/>
        </w:rPr>
        <w:t>langues</w:t>
      </w:r>
      <w:proofErr w:type="spellEnd"/>
      <w:r>
        <w:rPr>
          <w:sz w:val="24"/>
          <w:szCs w:val="24"/>
        </w:rPr>
        <w:t xml:space="preserve"> </w:t>
      </w:r>
      <w:proofErr w:type="spellStart"/>
      <w:r>
        <w:rPr>
          <w:sz w:val="24"/>
          <w:szCs w:val="24"/>
        </w:rPr>
        <w:t>spécifiées</w:t>
      </w:r>
      <w:proofErr w:type="spellEnd"/>
      <w:r>
        <w:rPr>
          <w:sz w:val="24"/>
          <w:szCs w:val="24"/>
        </w:rPr>
        <w:t>.</w:t>
      </w:r>
    </w:p>
    <w:p w14:paraId="15FE21DA" w14:textId="77777777" w:rsidR="00017FE4" w:rsidRDefault="00017FE4" w:rsidP="00017FE4">
      <w:pPr>
        <w:jc w:val="both"/>
        <w:rPr>
          <w:sz w:val="28"/>
          <w:szCs w:val="28"/>
          <w:lang w:val="fr-FR"/>
        </w:rPr>
      </w:pPr>
    </w:p>
    <w:tbl>
      <w:tblPr>
        <w:tblStyle w:val="TableGrid"/>
        <w:tblW w:w="0" w:type="auto"/>
        <w:tblLook w:val="04A0" w:firstRow="1" w:lastRow="0" w:firstColumn="1" w:lastColumn="0" w:noHBand="0" w:noVBand="1"/>
      </w:tblPr>
      <w:tblGrid>
        <w:gridCol w:w="4349"/>
        <w:gridCol w:w="4349"/>
      </w:tblGrid>
      <w:tr w:rsidR="00017FE4" w14:paraId="53EF0E7E"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51656F27" w14:textId="77777777" w:rsidR="00017FE4" w:rsidRDefault="00017FE4">
            <w:pPr>
              <w:jc w:val="both"/>
              <w:rPr>
                <w:b/>
                <w:sz w:val="24"/>
                <w:szCs w:val="24"/>
              </w:rPr>
            </w:pPr>
            <w:r>
              <w:rPr>
                <w:b/>
                <w:bCs/>
                <w:sz w:val="24"/>
                <w:szCs w:val="24"/>
              </w:rPr>
              <w:t>Matière</w:t>
            </w:r>
          </w:p>
        </w:tc>
        <w:tc>
          <w:tcPr>
            <w:tcW w:w="4349" w:type="dxa"/>
            <w:tcBorders>
              <w:top w:val="single" w:sz="4" w:space="0" w:color="auto"/>
              <w:left w:val="single" w:sz="4" w:space="0" w:color="auto"/>
              <w:bottom w:val="single" w:sz="4" w:space="0" w:color="auto"/>
              <w:right w:val="single" w:sz="4" w:space="0" w:color="auto"/>
            </w:tcBorders>
            <w:hideMark/>
          </w:tcPr>
          <w:p w14:paraId="3B660588" w14:textId="77777777" w:rsidR="00017FE4" w:rsidRDefault="00017FE4">
            <w:pPr>
              <w:jc w:val="both"/>
              <w:rPr>
                <w:b/>
                <w:sz w:val="24"/>
                <w:szCs w:val="24"/>
              </w:rPr>
            </w:pPr>
            <w:proofErr w:type="spellStart"/>
            <w:r>
              <w:rPr>
                <w:b/>
                <w:bCs/>
                <w:sz w:val="24"/>
                <w:szCs w:val="24"/>
              </w:rPr>
              <w:t>Langues</w:t>
            </w:r>
            <w:proofErr w:type="spellEnd"/>
          </w:p>
        </w:tc>
      </w:tr>
      <w:tr w:rsidR="00017FE4" w14:paraId="2A4816EA"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150BDAAF" w14:textId="77777777" w:rsidR="00017FE4" w:rsidRDefault="00017FE4">
            <w:pPr>
              <w:jc w:val="both"/>
              <w:rPr>
                <w:sz w:val="24"/>
                <w:szCs w:val="24"/>
              </w:rPr>
            </w:pPr>
            <w:r>
              <w:rPr>
                <w:sz w:val="24"/>
                <w:szCs w:val="24"/>
              </w:rPr>
              <w:t xml:space="preserve">Études </w:t>
            </w:r>
            <w:proofErr w:type="spellStart"/>
            <w:r>
              <w:rPr>
                <w:sz w:val="24"/>
                <w:szCs w:val="24"/>
              </w:rPr>
              <w:t>sociales</w:t>
            </w:r>
            <w:proofErr w:type="spellEnd"/>
            <w:r>
              <w:rPr>
                <w:sz w:val="24"/>
                <w:szCs w:val="24"/>
              </w:rPr>
              <w:t xml:space="preserve"> </w:t>
            </w:r>
            <w:proofErr w:type="spellStart"/>
            <w:r>
              <w:rPr>
                <w:sz w:val="24"/>
                <w:szCs w:val="24"/>
              </w:rPr>
              <w:t>brésiliennes</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02D11610" w14:textId="77777777" w:rsidR="00017FE4" w:rsidRDefault="00017FE4">
            <w:pPr>
              <w:jc w:val="both"/>
              <w:rPr>
                <w:sz w:val="24"/>
                <w:szCs w:val="24"/>
              </w:rPr>
            </w:pPr>
            <w:proofErr w:type="spellStart"/>
            <w:r>
              <w:rPr>
                <w:sz w:val="24"/>
                <w:szCs w:val="24"/>
              </w:rPr>
              <w:t>Portugais</w:t>
            </w:r>
            <w:proofErr w:type="spellEnd"/>
            <w:r>
              <w:rPr>
                <w:sz w:val="24"/>
                <w:szCs w:val="24"/>
              </w:rPr>
              <w:t> </w:t>
            </w:r>
            <w:proofErr w:type="spellStart"/>
            <w:r>
              <w:rPr>
                <w:sz w:val="24"/>
                <w:szCs w:val="24"/>
              </w:rPr>
              <w:t>uniquement</w:t>
            </w:r>
            <w:proofErr w:type="spellEnd"/>
          </w:p>
        </w:tc>
      </w:tr>
      <w:tr w:rsidR="00017FE4" w14:paraId="18BA6755"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2AA3E435" w14:textId="77777777" w:rsidR="00017FE4" w:rsidRDefault="00017FE4">
            <w:pPr>
              <w:jc w:val="both"/>
              <w:rPr>
                <w:sz w:val="24"/>
                <w:szCs w:val="24"/>
              </w:rPr>
            </w:pPr>
            <w:r>
              <w:rPr>
                <w:sz w:val="24"/>
                <w:szCs w:val="24"/>
              </w:rPr>
              <w:t xml:space="preserve">Gestion des </w:t>
            </w:r>
            <w:proofErr w:type="spellStart"/>
            <w:r>
              <w:rPr>
                <w:sz w:val="24"/>
                <w:szCs w:val="24"/>
              </w:rPr>
              <w:t>entreprises</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6C767D86" w14:textId="77777777" w:rsidR="00017FE4" w:rsidRDefault="00017FE4">
            <w:pPr>
              <w:jc w:val="both"/>
              <w:rPr>
                <w:sz w:val="24"/>
                <w:szCs w:val="24"/>
              </w:rPr>
            </w:pPr>
            <w:proofErr w:type="spellStart"/>
            <w:r>
              <w:rPr>
                <w:sz w:val="24"/>
                <w:szCs w:val="24"/>
              </w:rPr>
              <w:t>Espagnol</w:t>
            </w:r>
            <w:proofErr w:type="spellEnd"/>
          </w:p>
        </w:tc>
      </w:tr>
      <w:tr w:rsidR="00017FE4" w14:paraId="5942C7C3" w14:textId="77777777" w:rsidTr="00017FE4">
        <w:trPr>
          <w:trHeight w:val="394"/>
        </w:trPr>
        <w:tc>
          <w:tcPr>
            <w:tcW w:w="4349" w:type="dxa"/>
            <w:tcBorders>
              <w:top w:val="single" w:sz="4" w:space="0" w:color="auto"/>
              <w:left w:val="single" w:sz="4" w:space="0" w:color="auto"/>
              <w:bottom w:val="single" w:sz="4" w:space="0" w:color="auto"/>
              <w:right w:val="single" w:sz="4" w:space="0" w:color="auto"/>
            </w:tcBorders>
            <w:hideMark/>
          </w:tcPr>
          <w:p w14:paraId="421ADFDA" w14:textId="77777777" w:rsidR="00017FE4" w:rsidRDefault="00017FE4">
            <w:pPr>
              <w:jc w:val="both"/>
              <w:rPr>
                <w:sz w:val="24"/>
                <w:szCs w:val="24"/>
              </w:rPr>
            </w:pPr>
            <w:proofErr w:type="spellStart"/>
            <w:r>
              <w:rPr>
                <w:sz w:val="24"/>
                <w:szCs w:val="24"/>
              </w:rPr>
              <w:t>Histoire</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1C0A7BF9" w14:textId="77777777" w:rsidR="00017FE4" w:rsidRDefault="00017FE4">
            <w:pPr>
              <w:jc w:val="both"/>
              <w:rPr>
                <w:sz w:val="24"/>
                <w:szCs w:val="24"/>
              </w:rPr>
            </w:pPr>
            <w:proofErr w:type="spellStart"/>
            <w:r>
              <w:rPr>
                <w:sz w:val="24"/>
                <w:szCs w:val="24"/>
              </w:rPr>
              <w:t>Espagnol</w:t>
            </w:r>
            <w:proofErr w:type="spellEnd"/>
          </w:p>
        </w:tc>
      </w:tr>
      <w:tr w:rsidR="00017FE4" w14:paraId="74218AB6"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71F6688A" w14:textId="77777777" w:rsidR="00017FE4" w:rsidRDefault="00017FE4">
            <w:pPr>
              <w:jc w:val="both"/>
              <w:rPr>
                <w:sz w:val="24"/>
                <w:szCs w:val="24"/>
              </w:rPr>
            </w:pPr>
            <w:proofErr w:type="spellStart"/>
            <w:r>
              <w:rPr>
                <w:sz w:val="24"/>
                <w:szCs w:val="24"/>
              </w:rPr>
              <w:t>Histoire</w:t>
            </w:r>
            <w:proofErr w:type="spellEnd"/>
            <w:r>
              <w:rPr>
                <w:sz w:val="24"/>
                <w:szCs w:val="24"/>
              </w:rPr>
              <w:t xml:space="preserve"> </w:t>
            </w:r>
            <w:proofErr w:type="spellStart"/>
            <w:r>
              <w:rPr>
                <w:sz w:val="24"/>
                <w:szCs w:val="24"/>
              </w:rPr>
              <w:t>moderne</w:t>
            </w:r>
            <w:proofErr w:type="spellEnd"/>
            <w:r>
              <w:rPr>
                <w:sz w:val="24"/>
                <w:szCs w:val="24"/>
              </w:rPr>
              <w:t xml:space="preserve"> du Kazakhstan</w:t>
            </w:r>
          </w:p>
        </w:tc>
        <w:tc>
          <w:tcPr>
            <w:tcW w:w="4349" w:type="dxa"/>
            <w:tcBorders>
              <w:top w:val="single" w:sz="4" w:space="0" w:color="auto"/>
              <w:left w:val="single" w:sz="4" w:space="0" w:color="auto"/>
              <w:bottom w:val="single" w:sz="4" w:space="0" w:color="auto"/>
              <w:right w:val="single" w:sz="4" w:space="0" w:color="auto"/>
            </w:tcBorders>
            <w:hideMark/>
          </w:tcPr>
          <w:p w14:paraId="15157B22" w14:textId="77777777" w:rsidR="00017FE4" w:rsidRDefault="00017FE4">
            <w:pPr>
              <w:jc w:val="both"/>
              <w:rPr>
                <w:sz w:val="24"/>
                <w:szCs w:val="24"/>
              </w:rPr>
            </w:pPr>
            <w:r>
              <w:rPr>
                <w:sz w:val="24"/>
                <w:szCs w:val="24"/>
              </w:rPr>
              <w:t xml:space="preserve">Kazakh </w:t>
            </w:r>
            <w:proofErr w:type="spellStart"/>
            <w:r>
              <w:rPr>
                <w:sz w:val="24"/>
                <w:szCs w:val="24"/>
              </w:rPr>
              <w:t>uniquement</w:t>
            </w:r>
            <w:proofErr w:type="spellEnd"/>
          </w:p>
        </w:tc>
      </w:tr>
      <w:tr w:rsidR="00017FE4" w14:paraId="2ABE6C78"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45D34D45" w14:textId="77777777" w:rsidR="00017FE4" w:rsidRDefault="00017FE4">
            <w:pPr>
              <w:jc w:val="both"/>
              <w:rPr>
                <w:sz w:val="24"/>
                <w:szCs w:val="24"/>
              </w:rPr>
            </w:pPr>
            <w:r>
              <w:rPr>
                <w:sz w:val="24"/>
                <w:szCs w:val="24"/>
              </w:rPr>
              <w:t>Philosophie</w:t>
            </w:r>
          </w:p>
        </w:tc>
        <w:tc>
          <w:tcPr>
            <w:tcW w:w="4349" w:type="dxa"/>
            <w:tcBorders>
              <w:top w:val="single" w:sz="4" w:space="0" w:color="auto"/>
              <w:left w:val="single" w:sz="4" w:space="0" w:color="auto"/>
              <w:bottom w:val="single" w:sz="4" w:space="0" w:color="auto"/>
              <w:right w:val="single" w:sz="4" w:space="0" w:color="auto"/>
            </w:tcBorders>
            <w:hideMark/>
          </w:tcPr>
          <w:p w14:paraId="5648324C" w14:textId="77777777" w:rsidR="00017FE4" w:rsidRDefault="00017FE4">
            <w:pPr>
              <w:jc w:val="both"/>
              <w:rPr>
                <w:sz w:val="24"/>
                <w:szCs w:val="24"/>
              </w:rPr>
            </w:pPr>
            <w:proofErr w:type="spellStart"/>
            <w:r>
              <w:rPr>
                <w:sz w:val="24"/>
                <w:szCs w:val="24"/>
              </w:rPr>
              <w:t>Espagnol</w:t>
            </w:r>
            <w:proofErr w:type="spellEnd"/>
          </w:p>
        </w:tc>
      </w:tr>
      <w:tr w:rsidR="00017FE4" w14:paraId="7179166E"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66540FC8" w14:textId="77777777" w:rsidR="00017FE4" w:rsidRDefault="00017FE4">
            <w:pPr>
              <w:jc w:val="both"/>
              <w:rPr>
                <w:sz w:val="24"/>
                <w:szCs w:val="24"/>
              </w:rPr>
            </w:pPr>
            <w:r>
              <w:rPr>
                <w:sz w:val="24"/>
                <w:szCs w:val="24"/>
              </w:rPr>
              <w:t>Pensée politique</w:t>
            </w:r>
          </w:p>
        </w:tc>
        <w:tc>
          <w:tcPr>
            <w:tcW w:w="4349" w:type="dxa"/>
            <w:tcBorders>
              <w:top w:val="single" w:sz="4" w:space="0" w:color="auto"/>
              <w:left w:val="single" w:sz="4" w:space="0" w:color="auto"/>
              <w:bottom w:val="single" w:sz="4" w:space="0" w:color="auto"/>
              <w:right w:val="single" w:sz="4" w:space="0" w:color="auto"/>
            </w:tcBorders>
            <w:hideMark/>
          </w:tcPr>
          <w:p w14:paraId="41EE63D7" w14:textId="77777777" w:rsidR="00017FE4" w:rsidRDefault="00017FE4">
            <w:pPr>
              <w:jc w:val="both"/>
              <w:rPr>
                <w:sz w:val="24"/>
                <w:szCs w:val="24"/>
              </w:rPr>
            </w:pPr>
            <w:proofErr w:type="spellStart"/>
            <w:r>
              <w:rPr>
                <w:sz w:val="24"/>
                <w:szCs w:val="24"/>
              </w:rPr>
              <w:t>Espagnol</w:t>
            </w:r>
            <w:proofErr w:type="spellEnd"/>
          </w:p>
        </w:tc>
      </w:tr>
      <w:tr w:rsidR="00017FE4" w14:paraId="25AB9C91"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4D5E664F" w14:textId="77777777" w:rsidR="00017FE4" w:rsidRDefault="00017FE4">
            <w:pPr>
              <w:jc w:val="both"/>
              <w:rPr>
                <w:sz w:val="24"/>
                <w:szCs w:val="24"/>
                <w:lang w:val="fr-FR"/>
              </w:rPr>
            </w:pPr>
            <w:r>
              <w:rPr>
                <w:sz w:val="24"/>
                <w:szCs w:val="24"/>
              </w:rPr>
              <w:t xml:space="preserve">La </w:t>
            </w:r>
            <w:proofErr w:type="spellStart"/>
            <w:r>
              <w:rPr>
                <w:sz w:val="24"/>
                <w:szCs w:val="24"/>
              </w:rPr>
              <w:t>Turquie</w:t>
            </w:r>
            <w:proofErr w:type="spellEnd"/>
            <w:r>
              <w:rPr>
                <w:sz w:val="24"/>
                <w:szCs w:val="24"/>
              </w:rPr>
              <w:t xml:space="preserve"> au </w:t>
            </w:r>
            <w:proofErr w:type="spellStart"/>
            <w:r>
              <w:rPr>
                <w:sz w:val="24"/>
                <w:szCs w:val="24"/>
              </w:rPr>
              <w:t>XX</w:t>
            </w:r>
            <w:r>
              <w:rPr>
                <w:sz w:val="24"/>
                <w:szCs w:val="24"/>
                <w:vertAlign w:val="superscript"/>
              </w:rPr>
              <w:t>e</w:t>
            </w:r>
            <w:proofErr w:type="spellEnd"/>
            <w:r>
              <w:rPr>
                <w:sz w:val="24"/>
                <w:szCs w:val="24"/>
              </w:rPr>
              <w:t> siècle</w:t>
            </w:r>
          </w:p>
        </w:tc>
        <w:tc>
          <w:tcPr>
            <w:tcW w:w="4349" w:type="dxa"/>
            <w:tcBorders>
              <w:top w:val="single" w:sz="4" w:space="0" w:color="auto"/>
              <w:left w:val="single" w:sz="4" w:space="0" w:color="auto"/>
              <w:bottom w:val="single" w:sz="4" w:space="0" w:color="auto"/>
              <w:right w:val="single" w:sz="4" w:space="0" w:color="auto"/>
            </w:tcBorders>
            <w:hideMark/>
          </w:tcPr>
          <w:p w14:paraId="3987B15A" w14:textId="77777777" w:rsidR="00017FE4" w:rsidRDefault="00017FE4">
            <w:pPr>
              <w:jc w:val="both"/>
              <w:rPr>
                <w:sz w:val="24"/>
                <w:szCs w:val="24"/>
              </w:rPr>
            </w:pPr>
            <w:proofErr w:type="spellStart"/>
            <w:r>
              <w:rPr>
                <w:sz w:val="24"/>
                <w:szCs w:val="24"/>
              </w:rPr>
              <w:t>Turc</w:t>
            </w:r>
            <w:proofErr w:type="spellEnd"/>
            <w:r>
              <w:rPr>
                <w:sz w:val="24"/>
                <w:szCs w:val="24"/>
              </w:rPr>
              <w:t xml:space="preserve"> </w:t>
            </w:r>
            <w:proofErr w:type="spellStart"/>
            <w:r>
              <w:rPr>
                <w:sz w:val="24"/>
                <w:szCs w:val="24"/>
              </w:rPr>
              <w:t>uniquement</w:t>
            </w:r>
            <w:proofErr w:type="spellEnd"/>
          </w:p>
        </w:tc>
      </w:tr>
      <w:tr w:rsidR="00017FE4" w14:paraId="2D7C526C"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43A23C78" w14:textId="77777777" w:rsidR="00017FE4" w:rsidRDefault="00017FE4">
            <w:pPr>
              <w:jc w:val="both"/>
              <w:rPr>
                <w:sz w:val="24"/>
                <w:szCs w:val="24"/>
              </w:rPr>
            </w:pPr>
            <w:proofErr w:type="spellStart"/>
            <w:r>
              <w:rPr>
                <w:sz w:val="24"/>
                <w:szCs w:val="24"/>
              </w:rPr>
              <w:t>Biologie</w:t>
            </w:r>
            <w:proofErr w:type="spellEnd"/>
            <w:r>
              <w:rPr>
                <w:sz w:val="24"/>
                <w:szCs w:val="24"/>
              </w:rPr>
              <w:t xml:space="preserve"> </w:t>
            </w:r>
          </w:p>
        </w:tc>
        <w:tc>
          <w:tcPr>
            <w:tcW w:w="4349" w:type="dxa"/>
            <w:tcBorders>
              <w:top w:val="single" w:sz="4" w:space="0" w:color="auto"/>
              <w:left w:val="single" w:sz="4" w:space="0" w:color="auto"/>
              <w:bottom w:val="single" w:sz="4" w:space="0" w:color="auto"/>
              <w:right w:val="single" w:sz="4" w:space="0" w:color="auto"/>
            </w:tcBorders>
            <w:hideMark/>
          </w:tcPr>
          <w:p w14:paraId="41F6A09C" w14:textId="77777777" w:rsidR="00017FE4" w:rsidRDefault="00017FE4">
            <w:pPr>
              <w:jc w:val="both"/>
              <w:rPr>
                <w:sz w:val="24"/>
                <w:szCs w:val="24"/>
              </w:rPr>
            </w:pPr>
            <w:proofErr w:type="spellStart"/>
            <w:r>
              <w:rPr>
                <w:sz w:val="24"/>
                <w:szCs w:val="24"/>
              </w:rPr>
              <w:t>Espagnol</w:t>
            </w:r>
            <w:proofErr w:type="spellEnd"/>
          </w:p>
        </w:tc>
      </w:tr>
      <w:tr w:rsidR="00017FE4" w14:paraId="3A188243"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1572B33B" w14:textId="77777777" w:rsidR="00017FE4" w:rsidRDefault="00017FE4">
            <w:pPr>
              <w:jc w:val="both"/>
              <w:rPr>
                <w:sz w:val="24"/>
                <w:szCs w:val="24"/>
              </w:rPr>
            </w:pPr>
            <w:proofErr w:type="spellStart"/>
            <w:r>
              <w:rPr>
                <w:sz w:val="24"/>
                <w:szCs w:val="24"/>
              </w:rPr>
              <w:t>Chimie</w:t>
            </w:r>
            <w:proofErr w:type="spellEnd"/>
            <w:r>
              <w:rPr>
                <w:sz w:val="24"/>
                <w:szCs w:val="24"/>
              </w:rPr>
              <w:t xml:space="preserve"> </w:t>
            </w:r>
          </w:p>
        </w:tc>
        <w:tc>
          <w:tcPr>
            <w:tcW w:w="4349" w:type="dxa"/>
            <w:tcBorders>
              <w:top w:val="single" w:sz="4" w:space="0" w:color="auto"/>
              <w:left w:val="single" w:sz="4" w:space="0" w:color="auto"/>
              <w:bottom w:val="single" w:sz="4" w:space="0" w:color="auto"/>
              <w:right w:val="single" w:sz="4" w:space="0" w:color="auto"/>
            </w:tcBorders>
            <w:hideMark/>
          </w:tcPr>
          <w:p w14:paraId="6C52A889" w14:textId="77777777" w:rsidR="00017FE4" w:rsidRDefault="00017FE4">
            <w:pPr>
              <w:jc w:val="both"/>
              <w:rPr>
                <w:sz w:val="24"/>
                <w:szCs w:val="24"/>
              </w:rPr>
            </w:pPr>
            <w:proofErr w:type="spellStart"/>
            <w:r>
              <w:rPr>
                <w:sz w:val="24"/>
                <w:szCs w:val="24"/>
              </w:rPr>
              <w:t>Espagnol</w:t>
            </w:r>
            <w:proofErr w:type="spellEnd"/>
          </w:p>
        </w:tc>
      </w:tr>
      <w:tr w:rsidR="00017FE4" w14:paraId="23D03E5C"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594A0CCB" w14:textId="77777777" w:rsidR="00017FE4" w:rsidRDefault="00017FE4">
            <w:pPr>
              <w:jc w:val="both"/>
              <w:rPr>
                <w:sz w:val="24"/>
                <w:szCs w:val="24"/>
              </w:rPr>
            </w:pPr>
            <w:r>
              <w:rPr>
                <w:sz w:val="24"/>
                <w:szCs w:val="24"/>
              </w:rPr>
              <w:t xml:space="preserve">Physique </w:t>
            </w:r>
          </w:p>
        </w:tc>
        <w:tc>
          <w:tcPr>
            <w:tcW w:w="4349" w:type="dxa"/>
            <w:tcBorders>
              <w:top w:val="single" w:sz="4" w:space="0" w:color="auto"/>
              <w:left w:val="single" w:sz="4" w:space="0" w:color="auto"/>
              <w:bottom w:val="single" w:sz="4" w:space="0" w:color="auto"/>
              <w:right w:val="single" w:sz="4" w:space="0" w:color="auto"/>
            </w:tcBorders>
            <w:hideMark/>
          </w:tcPr>
          <w:p w14:paraId="08D9BA64" w14:textId="77777777" w:rsidR="00017FE4" w:rsidRDefault="00017FE4">
            <w:pPr>
              <w:jc w:val="both"/>
              <w:rPr>
                <w:sz w:val="24"/>
                <w:szCs w:val="24"/>
              </w:rPr>
            </w:pPr>
            <w:proofErr w:type="spellStart"/>
            <w:r>
              <w:rPr>
                <w:sz w:val="24"/>
                <w:szCs w:val="24"/>
              </w:rPr>
              <w:t>Espagnol</w:t>
            </w:r>
            <w:proofErr w:type="spellEnd"/>
          </w:p>
        </w:tc>
      </w:tr>
      <w:tr w:rsidR="00017FE4" w14:paraId="09BB0B4D"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06F51376" w14:textId="77777777" w:rsidR="00017FE4" w:rsidRDefault="00017FE4">
            <w:pPr>
              <w:jc w:val="both"/>
              <w:rPr>
                <w:rFonts w:eastAsiaTheme="minorEastAsia"/>
                <w:sz w:val="24"/>
                <w:szCs w:val="24"/>
              </w:rPr>
            </w:pPr>
            <w:proofErr w:type="spellStart"/>
            <w:proofErr w:type="gramStart"/>
            <w:r>
              <w:rPr>
                <w:rFonts w:eastAsiaTheme="minorEastAsia"/>
                <w:sz w:val="24"/>
                <w:szCs w:val="24"/>
              </w:rPr>
              <w:t>Mathématiques</w:t>
            </w:r>
            <w:proofErr w:type="spellEnd"/>
            <w:r>
              <w:rPr>
                <w:rFonts w:eastAsiaTheme="minorEastAsia"/>
                <w:sz w:val="24"/>
                <w:szCs w:val="24"/>
              </w:rPr>
              <w:t> :</w:t>
            </w:r>
            <w:proofErr w:type="gramEnd"/>
            <w:r>
              <w:rPr>
                <w:rFonts w:eastAsiaTheme="minorEastAsia"/>
                <w:sz w:val="24"/>
                <w:szCs w:val="24"/>
              </w:rPr>
              <w:t xml:space="preserve"> applications et </w:t>
            </w:r>
            <w:proofErr w:type="spellStart"/>
            <w:r>
              <w:rPr>
                <w:rFonts w:eastAsiaTheme="minorEastAsia"/>
                <w:sz w:val="24"/>
                <w:szCs w:val="24"/>
              </w:rPr>
              <w:t>interprétation</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02F846A6" w14:textId="77777777" w:rsidR="00017FE4" w:rsidRDefault="00017FE4">
            <w:pPr>
              <w:jc w:val="both"/>
              <w:rPr>
                <w:rFonts w:eastAsiaTheme="minorHAnsi"/>
                <w:sz w:val="24"/>
                <w:szCs w:val="24"/>
              </w:rPr>
            </w:pPr>
            <w:proofErr w:type="spellStart"/>
            <w:r>
              <w:rPr>
                <w:sz w:val="24"/>
                <w:szCs w:val="24"/>
              </w:rPr>
              <w:t>Espagnol</w:t>
            </w:r>
            <w:proofErr w:type="spellEnd"/>
          </w:p>
        </w:tc>
      </w:tr>
      <w:tr w:rsidR="00017FE4" w14:paraId="1E5E6A8C"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67AD36E7" w14:textId="77777777" w:rsidR="00017FE4" w:rsidRDefault="00017FE4">
            <w:pPr>
              <w:jc w:val="both"/>
              <w:rPr>
                <w:sz w:val="24"/>
                <w:szCs w:val="24"/>
              </w:rPr>
            </w:pPr>
            <w:proofErr w:type="spellStart"/>
            <w:r>
              <w:rPr>
                <w:sz w:val="24"/>
                <w:szCs w:val="24"/>
              </w:rPr>
              <w:t>Mathématiques</w:t>
            </w:r>
            <w:proofErr w:type="spellEnd"/>
            <w:r>
              <w:rPr>
                <w:sz w:val="24"/>
                <w:szCs w:val="24"/>
              </w:rPr>
              <w:t xml:space="preserve"> </w:t>
            </w:r>
          </w:p>
        </w:tc>
        <w:tc>
          <w:tcPr>
            <w:tcW w:w="4349" w:type="dxa"/>
            <w:tcBorders>
              <w:top w:val="single" w:sz="4" w:space="0" w:color="auto"/>
              <w:left w:val="single" w:sz="4" w:space="0" w:color="auto"/>
              <w:bottom w:val="single" w:sz="4" w:space="0" w:color="auto"/>
              <w:right w:val="single" w:sz="4" w:space="0" w:color="auto"/>
            </w:tcBorders>
            <w:hideMark/>
          </w:tcPr>
          <w:p w14:paraId="7B203A02" w14:textId="77777777" w:rsidR="00017FE4" w:rsidRDefault="00017FE4">
            <w:pPr>
              <w:jc w:val="both"/>
              <w:rPr>
                <w:sz w:val="24"/>
                <w:szCs w:val="24"/>
              </w:rPr>
            </w:pPr>
            <w:proofErr w:type="spellStart"/>
            <w:r>
              <w:rPr>
                <w:sz w:val="24"/>
                <w:szCs w:val="24"/>
              </w:rPr>
              <w:t>Espagnol</w:t>
            </w:r>
            <w:proofErr w:type="spellEnd"/>
          </w:p>
        </w:tc>
      </w:tr>
      <w:tr w:rsidR="00017FE4" w14:paraId="6A1A6975"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272A2E3D" w14:textId="77777777" w:rsidR="00017FE4" w:rsidRDefault="00017FE4">
            <w:pPr>
              <w:jc w:val="both"/>
              <w:rPr>
                <w:sz w:val="24"/>
                <w:szCs w:val="24"/>
              </w:rPr>
            </w:pPr>
            <w:r>
              <w:rPr>
                <w:sz w:val="24"/>
                <w:szCs w:val="24"/>
              </w:rPr>
              <w:t xml:space="preserve">Arts </w:t>
            </w:r>
            <w:proofErr w:type="spellStart"/>
            <w:r>
              <w:rPr>
                <w:sz w:val="24"/>
                <w:szCs w:val="24"/>
              </w:rPr>
              <w:t>visuels</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183CA88A" w14:textId="77777777" w:rsidR="00017FE4" w:rsidRDefault="00017FE4">
            <w:pPr>
              <w:jc w:val="both"/>
              <w:rPr>
                <w:sz w:val="24"/>
                <w:szCs w:val="24"/>
              </w:rPr>
            </w:pPr>
            <w:proofErr w:type="spellStart"/>
            <w:r>
              <w:rPr>
                <w:sz w:val="24"/>
                <w:szCs w:val="24"/>
              </w:rPr>
              <w:t>Espagnol</w:t>
            </w:r>
            <w:proofErr w:type="spellEnd"/>
          </w:p>
        </w:tc>
      </w:tr>
      <w:tr w:rsidR="00017FE4" w14:paraId="602E8B3D" w14:textId="77777777" w:rsidTr="00017FE4">
        <w:trPr>
          <w:trHeight w:val="375"/>
        </w:trPr>
        <w:tc>
          <w:tcPr>
            <w:tcW w:w="4349" w:type="dxa"/>
            <w:tcBorders>
              <w:top w:val="single" w:sz="4" w:space="0" w:color="auto"/>
              <w:left w:val="single" w:sz="4" w:space="0" w:color="auto"/>
              <w:bottom w:val="single" w:sz="4" w:space="0" w:color="auto"/>
              <w:right w:val="single" w:sz="4" w:space="0" w:color="auto"/>
            </w:tcBorders>
            <w:hideMark/>
          </w:tcPr>
          <w:p w14:paraId="124C979B" w14:textId="77777777" w:rsidR="00017FE4" w:rsidRDefault="00017FE4">
            <w:pPr>
              <w:jc w:val="both"/>
              <w:rPr>
                <w:sz w:val="24"/>
                <w:szCs w:val="24"/>
              </w:rPr>
            </w:pPr>
            <w:proofErr w:type="spellStart"/>
            <w:r>
              <w:rPr>
                <w:sz w:val="24"/>
                <w:szCs w:val="24"/>
              </w:rPr>
              <w:t>Théorie</w:t>
            </w:r>
            <w:proofErr w:type="spellEnd"/>
            <w:r>
              <w:rPr>
                <w:sz w:val="24"/>
                <w:szCs w:val="24"/>
              </w:rPr>
              <w:t xml:space="preserve"> de la </w:t>
            </w:r>
            <w:proofErr w:type="spellStart"/>
            <w:r>
              <w:rPr>
                <w:sz w:val="24"/>
                <w:szCs w:val="24"/>
              </w:rPr>
              <w:t>connaissance</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1F60D094" w14:textId="77777777" w:rsidR="00017FE4" w:rsidRDefault="00017FE4">
            <w:pPr>
              <w:jc w:val="both"/>
              <w:rPr>
                <w:sz w:val="24"/>
                <w:szCs w:val="24"/>
              </w:rPr>
            </w:pPr>
            <w:r>
              <w:rPr>
                <w:sz w:val="24"/>
                <w:szCs w:val="24"/>
              </w:rPr>
              <w:t xml:space="preserve">Chinois, </w:t>
            </w:r>
            <w:proofErr w:type="spellStart"/>
            <w:r>
              <w:rPr>
                <w:sz w:val="24"/>
                <w:szCs w:val="24"/>
              </w:rPr>
              <w:t>espagnol</w:t>
            </w:r>
            <w:proofErr w:type="spellEnd"/>
            <w:r>
              <w:rPr>
                <w:sz w:val="24"/>
                <w:szCs w:val="24"/>
              </w:rPr>
              <w:t xml:space="preserve">, </w:t>
            </w:r>
            <w:proofErr w:type="spellStart"/>
            <w:r>
              <w:rPr>
                <w:sz w:val="24"/>
                <w:szCs w:val="24"/>
              </w:rPr>
              <w:t>français</w:t>
            </w:r>
            <w:proofErr w:type="spellEnd"/>
          </w:p>
        </w:tc>
      </w:tr>
    </w:tbl>
    <w:p w14:paraId="2ABE3D38" w14:textId="77777777" w:rsidR="00776E89" w:rsidRDefault="00776E89" w:rsidP="006240A4">
      <w:pPr>
        <w:ind w:left="117"/>
      </w:pPr>
    </w:p>
    <w:sectPr w:rsidR="00776E89">
      <w:pgSz w:w="11910" w:h="16840"/>
      <w:pgMar w:top="1620" w:right="960" w:bottom="1100" w:left="960" w:header="709"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5CED" w14:textId="77777777" w:rsidR="00966D63" w:rsidRDefault="00966D63">
      <w:r>
        <w:separator/>
      </w:r>
    </w:p>
  </w:endnote>
  <w:endnote w:type="continuationSeparator" w:id="0">
    <w:p w14:paraId="7D84E6A1" w14:textId="77777777" w:rsidR="00966D63" w:rsidRDefault="0096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4CF0" w14:textId="77777777" w:rsidR="00966D63" w:rsidRDefault="00966D63">
      <w:r>
        <w:separator/>
      </w:r>
    </w:p>
  </w:footnote>
  <w:footnote w:type="continuationSeparator" w:id="0">
    <w:p w14:paraId="7C86720A" w14:textId="77777777" w:rsidR="00966D63" w:rsidRDefault="0096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AB1" w14:textId="77777777" w:rsidR="0035058D" w:rsidRDefault="008B499F">
    <w:pPr>
      <w:pStyle w:val="BodyText"/>
      <w:spacing w:line="14" w:lineRule="auto"/>
      <w:rPr>
        <w:sz w:val="20"/>
      </w:rPr>
    </w:pPr>
    <w:r>
      <w:rPr>
        <w:noProof/>
        <w:lang w:val="fr"/>
      </w:rPr>
      <w:drawing>
        <wp:anchor distT="0" distB="0" distL="0" distR="0" simplePos="0" relativeHeight="268430279" behindDoc="1" locked="0" layoutInCell="1" allowOverlap="1" wp14:anchorId="44A100AC" wp14:editId="6FA3A6B1">
          <wp:simplePos x="0" y="0"/>
          <wp:positionH relativeFrom="page">
            <wp:posOffset>4923790</wp:posOffset>
          </wp:positionH>
          <wp:positionV relativeFrom="page">
            <wp:posOffset>450214</wp:posOffset>
          </wp:positionV>
          <wp:extent cx="1952623" cy="590548"/>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2623" cy="5905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143C"/>
    <w:multiLevelType w:val="hybridMultilevel"/>
    <w:tmpl w:val="1D4426DC"/>
    <w:lvl w:ilvl="0" w:tplc="15885B08">
      <w:start w:val="1"/>
      <w:numFmt w:val="decimal"/>
      <w:lvlText w:val="%1."/>
      <w:lvlJc w:val="left"/>
      <w:pPr>
        <w:ind w:left="477" w:hanging="360"/>
      </w:pPr>
      <w:rPr>
        <w:rFonts w:ascii="Calibri" w:eastAsia="Calibri" w:hAnsi="Calibri" w:cs="Calibri" w:hint="default"/>
        <w:spacing w:val="-1"/>
        <w:w w:val="100"/>
        <w:sz w:val="22"/>
        <w:szCs w:val="22"/>
        <w:lang w:val="en-GB" w:eastAsia="en-GB" w:bidi="en-GB"/>
      </w:rPr>
    </w:lvl>
    <w:lvl w:ilvl="1" w:tplc="C1EE7A9A">
      <w:numFmt w:val="bullet"/>
      <w:lvlText w:val=""/>
      <w:lvlJc w:val="left"/>
      <w:pPr>
        <w:ind w:left="902" w:hanging="361"/>
      </w:pPr>
      <w:rPr>
        <w:rFonts w:ascii="Symbol" w:eastAsia="Symbol" w:hAnsi="Symbol" w:cs="Symbol" w:hint="default"/>
        <w:w w:val="100"/>
        <w:sz w:val="22"/>
        <w:szCs w:val="22"/>
        <w:lang w:val="en-GB" w:eastAsia="en-GB" w:bidi="en-GB"/>
      </w:rPr>
    </w:lvl>
    <w:lvl w:ilvl="2" w:tplc="0A78E2F0">
      <w:numFmt w:val="bullet"/>
      <w:lvlText w:val="o"/>
      <w:lvlJc w:val="left"/>
      <w:pPr>
        <w:ind w:left="2277" w:hanging="361"/>
      </w:pPr>
      <w:rPr>
        <w:rFonts w:ascii="Courier New" w:eastAsia="Courier New" w:hAnsi="Courier New" w:cs="Courier New" w:hint="default"/>
        <w:w w:val="100"/>
        <w:sz w:val="22"/>
        <w:szCs w:val="22"/>
        <w:lang w:val="en-GB" w:eastAsia="en-GB" w:bidi="en-GB"/>
      </w:rPr>
    </w:lvl>
    <w:lvl w:ilvl="3" w:tplc="D188F498">
      <w:numFmt w:val="bullet"/>
      <w:lvlText w:val="•"/>
      <w:lvlJc w:val="left"/>
      <w:pPr>
        <w:ind w:left="2280" w:hanging="361"/>
      </w:pPr>
      <w:rPr>
        <w:rFonts w:hint="default"/>
        <w:lang w:val="en-GB" w:eastAsia="en-GB" w:bidi="en-GB"/>
      </w:rPr>
    </w:lvl>
    <w:lvl w:ilvl="4" w:tplc="F60CEE88">
      <w:numFmt w:val="bullet"/>
      <w:lvlText w:val="•"/>
      <w:lvlJc w:val="left"/>
      <w:pPr>
        <w:ind w:left="3380" w:hanging="361"/>
      </w:pPr>
      <w:rPr>
        <w:rFonts w:hint="default"/>
        <w:lang w:val="en-GB" w:eastAsia="en-GB" w:bidi="en-GB"/>
      </w:rPr>
    </w:lvl>
    <w:lvl w:ilvl="5" w:tplc="8A08DE66">
      <w:numFmt w:val="bullet"/>
      <w:lvlText w:val="•"/>
      <w:lvlJc w:val="left"/>
      <w:pPr>
        <w:ind w:left="4481" w:hanging="361"/>
      </w:pPr>
      <w:rPr>
        <w:rFonts w:hint="default"/>
        <w:lang w:val="en-GB" w:eastAsia="en-GB" w:bidi="en-GB"/>
      </w:rPr>
    </w:lvl>
    <w:lvl w:ilvl="6" w:tplc="7960D66A">
      <w:numFmt w:val="bullet"/>
      <w:lvlText w:val="•"/>
      <w:lvlJc w:val="left"/>
      <w:pPr>
        <w:ind w:left="5582" w:hanging="361"/>
      </w:pPr>
      <w:rPr>
        <w:rFonts w:hint="default"/>
        <w:lang w:val="en-GB" w:eastAsia="en-GB" w:bidi="en-GB"/>
      </w:rPr>
    </w:lvl>
    <w:lvl w:ilvl="7" w:tplc="1A128DC8">
      <w:numFmt w:val="bullet"/>
      <w:lvlText w:val="•"/>
      <w:lvlJc w:val="left"/>
      <w:pPr>
        <w:ind w:left="6683" w:hanging="361"/>
      </w:pPr>
      <w:rPr>
        <w:rFonts w:hint="default"/>
        <w:lang w:val="en-GB" w:eastAsia="en-GB" w:bidi="en-GB"/>
      </w:rPr>
    </w:lvl>
    <w:lvl w:ilvl="8" w:tplc="BD8E6566">
      <w:numFmt w:val="bullet"/>
      <w:lvlText w:val="•"/>
      <w:lvlJc w:val="left"/>
      <w:pPr>
        <w:ind w:left="7784" w:hanging="361"/>
      </w:pPr>
      <w:rPr>
        <w:rFonts w:hint="default"/>
        <w:lang w:val="en-GB" w:eastAsia="en-GB" w:bidi="en-GB"/>
      </w:rPr>
    </w:lvl>
  </w:abstractNum>
  <w:abstractNum w:abstractNumId="1" w15:restartNumberingAfterBreak="0">
    <w:nsid w:val="33051280"/>
    <w:multiLevelType w:val="hybridMultilevel"/>
    <w:tmpl w:val="FDD4458E"/>
    <w:lvl w:ilvl="0" w:tplc="DD14DD30">
      <w:numFmt w:val="bullet"/>
      <w:lvlText w:val=""/>
      <w:lvlJc w:val="left"/>
      <w:pPr>
        <w:ind w:left="831" w:hanging="356"/>
      </w:pPr>
      <w:rPr>
        <w:rFonts w:ascii="Symbol" w:eastAsia="Symbol" w:hAnsi="Symbol" w:cs="Symbol" w:hint="default"/>
        <w:w w:val="100"/>
        <w:sz w:val="22"/>
        <w:szCs w:val="22"/>
        <w:lang w:val="en-GB" w:eastAsia="en-GB" w:bidi="en-GB"/>
      </w:rPr>
    </w:lvl>
    <w:lvl w:ilvl="1" w:tplc="178CD9E6">
      <w:numFmt w:val="bullet"/>
      <w:lvlText w:val="o"/>
      <w:lvlJc w:val="left"/>
      <w:pPr>
        <w:ind w:left="1918" w:hanging="361"/>
      </w:pPr>
      <w:rPr>
        <w:rFonts w:ascii="Courier New" w:eastAsia="Courier New" w:hAnsi="Courier New" w:cs="Courier New" w:hint="default"/>
        <w:w w:val="100"/>
        <w:sz w:val="22"/>
        <w:szCs w:val="22"/>
        <w:lang w:val="en-GB" w:eastAsia="en-GB" w:bidi="en-GB"/>
      </w:rPr>
    </w:lvl>
    <w:lvl w:ilvl="2" w:tplc="FE48D088">
      <w:numFmt w:val="bullet"/>
      <w:lvlText w:val="•"/>
      <w:lvlJc w:val="left"/>
      <w:pPr>
        <w:ind w:left="2816" w:hanging="361"/>
      </w:pPr>
      <w:rPr>
        <w:rFonts w:hint="default"/>
        <w:lang w:val="en-GB" w:eastAsia="en-GB" w:bidi="en-GB"/>
      </w:rPr>
    </w:lvl>
    <w:lvl w:ilvl="3" w:tplc="98E4CC6E">
      <w:numFmt w:val="bullet"/>
      <w:lvlText w:val="•"/>
      <w:lvlJc w:val="left"/>
      <w:pPr>
        <w:ind w:left="3712" w:hanging="361"/>
      </w:pPr>
      <w:rPr>
        <w:rFonts w:hint="default"/>
        <w:lang w:val="en-GB" w:eastAsia="en-GB" w:bidi="en-GB"/>
      </w:rPr>
    </w:lvl>
    <w:lvl w:ilvl="4" w:tplc="479827A8">
      <w:numFmt w:val="bullet"/>
      <w:lvlText w:val="•"/>
      <w:lvlJc w:val="left"/>
      <w:pPr>
        <w:ind w:left="4608" w:hanging="361"/>
      </w:pPr>
      <w:rPr>
        <w:rFonts w:hint="default"/>
        <w:lang w:val="en-GB" w:eastAsia="en-GB" w:bidi="en-GB"/>
      </w:rPr>
    </w:lvl>
    <w:lvl w:ilvl="5" w:tplc="E5348EAE">
      <w:numFmt w:val="bullet"/>
      <w:lvlText w:val="•"/>
      <w:lvlJc w:val="left"/>
      <w:pPr>
        <w:ind w:left="5505" w:hanging="361"/>
      </w:pPr>
      <w:rPr>
        <w:rFonts w:hint="default"/>
        <w:lang w:val="en-GB" w:eastAsia="en-GB" w:bidi="en-GB"/>
      </w:rPr>
    </w:lvl>
    <w:lvl w:ilvl="6" w:tplc="43CEA6F4">
      <w:numFmt w:val="bullet"/>
      <w:lvlText w:val="•"/>
      <w:lvlJc w:val="left"/>
      <w:pPr>
        <w:ind w:left="6401" w:hanging="361"/>
      </w:pPr>
      <w:rPr>
        <w:rFonts w:hint="default"/>
        <w:lang w:val="en-GB" w:eastAsia="en-GB" w:bidi="en-GB"/>
      </w:rPr>
    </w:lvl>
    <w:lvl w:ilvl="7" w:tplc="790A0F76">
      <w:numFmt w:val="bullet"/>
      <w:lvlText w:val="•"/>
      <w:lvlJc w:val="left"/>
      <w:pPr>
        <w:ind w:left="7297" w:hanging="361"/>
      </w:pPr>
      <w:rPr>
        <w:rFonts w:hint="default"/>
        <w:lang w:val="en-GB" w:eastAsia="en-GB" w:bidi="en-GB"/>
      </w:rPr>
    </w:lvl>
    <w:lvl w:ilvl="8" w:tplc="6C9C0D88">
      <w:numFmt w:val="bullet"/>
      <w:lvlText w:val="•"/>
      <w:lvlJc w:val="left"/>
      <w:pPr>
        <w:ind w:left="8193"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D"/>
    <w:rsid w:val="00004FC7"/>
    <w:rsid w:val="00017FE4"/>
    <w:rsid w:val="0008680E"/>
    <w:rsid w:val="000D2505"/>
    <w:rsid w:val="00151D3C"/>
    <w:rsid w:val="00261D42"/>
    <w:rsid w:val="00283D4A"/>
    <w:rsid w:val="002C3A46"/>
    <w:rsid w:val="002C4937"/>
    <w:rsid w:val="00307797"/>
    <w:rsid w:val="0031799D"/>
    <w:rsid w:val="0032232E"/>
    <w:rsid w:val="0032743A"/>
    <w:rsid w:val="00330B90"/>
    <w:rsid w:val="0035058D"/>
    <w:rsid w:val="00402780"/>
    <w:rsid w:val="00403DEE"/>
    <w:rsid w:val="0041776C"/>
    <w:rsid w:val="005164D1"/>
    <w:rsid w:val="00536B84"/>
    <w:rsid w:val="00563648"/>
    <w:rsid w:val="0059542D"/>
    <w:rsid w:val="006240A4"/>
    <w:rsid w:val="00637764"/>
    <w:rsid w:val="006B2957"/>
    <w:rsid w:val="006D5370"/>
    <w:rsid w:val="006F64D5"/>
    <w:rsid w:val="00733941"/>
    <w:rsid w:val="0076549C"/>
    <w:rsid w:val="00776E89"/>
    <w:rsid w:val="00785C70"/>
    <w:rsid w:val="00791E64"/>
    <w:rsid w:val="007F3356"/>
    <w:rsid w:val="00807854"/>
    <w:rsid w:val="00843222"/>
    <w:rsid w:val="008B499F"/>
    <w:rsid w:val="008F3334"/>
    <w:rsid w:val="00932B02"/>
    <w:rsid w:val="00961856"/>
    <w:rsid w:val="00965AD6"/>
    <w:rsid w:val="00966D63"/>
    <w:rsid w:val="009D008E"/>
    <w:rsid w:val="009E1154"/>
    <w:rsid w:val="00A3124B"/>
    <w:rsid w:val="00A45644"/>
    <w:rsid w:val="00A8358A"/>
    <w:rsid w:val="00AC08A9"/>
    <w:rsid w:val="00BE0614"/>
    <w:rsid w:val="00BE35DC"/>
    <w:rsid w:val="00BF4814"/>
    <w:rsid w:val="00C76140"/>
    <w:rsid w:val="00CC579A"/>
    <w:rsid w:val="00D3598B"/>
    <w:rsid w:val="00DA68A8"/>
    <w:rsid w:val="00DC3BF2"/>
    <w:rsid w:val="00E2419F"/>
    <w:rsid w:val="00E55EC1"/>
    <w:rsid w:val="00F377B9"/>
    <w:rsid w:val="00F745EE"/>
    <w:rsid w:val="00FC09C4"/>
    <w:rsid w:val="00FF745F"/>
    <w:rsid w:val="06C40650"/>
    <w:rsid w:val="2407B16F"/>
    <w:rsid w:val="2F3B3FA9"/>
    <w:rsid w:val="38F9DBCE"/>
    <w:rsid w:val="3C249143"/>
    <w:rsid w:val="3C2ADD84"/>
    <w:rsid w:val="3D542EAF"/>
    <w:rsid w:val="3E66EB73"/>
    <w:rsid w:val="3F9E6D01"/>
    <w:rsid w:val="42C74C48"/>
    <w:rsid w:val="457C32F8"/>
    <w:rsid w:val="4EF290B7"/>
    <w:rsid w:val="5078A7AD"/>
    <w:rsid w:val="50FC1C27"/>
    <w:rsid w:val="54CDF341"/>
    <w:rsid w:val="606571CC"/>
    <w:rsid w:val="7760C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BAD5"/>
  <w15:docId w15:val="{9C631483-0D79-4B2C-B5BD-1F37AFD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75"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38" w:hanging="36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E1154"/>
    <w:rPr>
      <w:color w:val="0000FF" w:themeColor="hyperlink"/>
      <w:u w:val="single"/>
    </w:rPr>
  </w:style>
  <w:style w:type="table" w:styleId="TableGrid">
    <w:name w:val="Table Grid"/>
    <w:basedOn w:val="TableNormal"/>
    <w:uiPriority w:val="39"/>
    <w:rsid w:val="00776E8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41"/>
    <w:rPr>
      <w:rFonts w:ascii="Segoe UI" w:eastAsia="Calibri" w:hAnsi="Segoe UI" w:cs="Segoe UI"/>
      <w:sz w:val="18"/>
      <w:szCs w:val="18"/>
      <w:lang w:val="en-GB" w:eastAsia="en-GB" w:bidi="en-GB"/>
    </w:rPr>
  </w:style>
  <w:style w:type="character" w:styleId="CommentReference">
    <w:name w:val="annotation reference"/>
    <w:basedOn w:val="DefaultParagraphFont"/>
    <w:uiPriority w:val="99"/>
    <w:semiHidden/>
    <w:unhideWhenUsed/>
    <w:rsid w:val="00402780"/>
    <w:rPr>
      <w:sz w:val="16"/>
      <w:szCs w:val="16"/>
    </w:rPr>
  </w:style>
  <w:style w:type="paragraph" w:styleId="CommentText">
    <w:name w:val="annotation text"/>
    <w:basedOn w:val="Normal"/>
    <w:link w:val="CommentTextChar"/>
    <w:uiPriority w:val="99"/>
    <w:semiHidden/>
    <w:unhideWhenUsed/>
    <w:rsid w:val="00402780"/>
    <w:rPr>
      <w:sz w:val="20"/>
      <w:szCs w:val="20"/>
    </w:rPr>
  </w:style>
  <w:style w:type="character" w:customStyle="1" w:styleId="CommentTextChar">
    <w:name w:val="Comment Text Char"/>
    <w:basedOn w:val="DefaultParagraphFont"/>
    <w:link w:val="CommentText"/>
    <w:uiPriority w:val="99"/>
    <w:semiHidden/>
    <w:rsid w:val="0040278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02780"/>
    <w:rPr>
      <w:b/>
      <w:bCs/>
    </w:rPr>
  </w:style>
  <w:style w:type="character" w:customStyle="1" w:styleId="CommentSubjectChar">
    <w:name w:val="Comment Subject Char"/>
    <w:basedOn w:val="CommentTextChar"/>
    <w:link w:val="CommentSubject"/>
    <w:uiPriority w:val="99"/>
    <w:semiHidden/>
    <w:rsid w:val="00402780"/>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C76140"/>
    <w:pPr>
      <w:tabs>
        <w:tab w:val="center" w:pos="4513"/>
        <w:tab w:val="right" w:pos="9026"/>
      </w:tabs>
    </w:pPr>
  </w:style>
  <w:style w:type="character" w:customStyle="1" w:styleId="HeaderChar">
    <w:name w:val="Header Char"/>
    <w:basedOn w:val="DefaultParagraphFont"/>
    <w:link w:val="Header"/>
    <w:uiPriority w:val="99"/>
    <w:rsid w:val="00C76140"/>
    <w:rPr>
      <w:rFonts w:ascii="Calibri" w:eastAsia="Calibri" w:hAnsi="Calibri" w:cs="Calibri"/>
      <w:lang w:val="en-GB" w:eastAsia="en-GB" w:bidi="en-GB"/>
    </w:rPr>
  </w:style>
  <w:style w:type="paragraph" w:styleId="Footer">
    <w:name w:val="footer"/>
    <w:basedOn w:val="Normal"/>
    <w:link w:val="FooterChar"/>
    <w:uiPriority w:val="99"/>
    <w:unhideWhenUsed/>
    <w:rsid w:val="00C76140"/>
    <w:pPr>
      <w:tabs>
        <w:tab w:val="center" w:pos="4513"/>
        <w:tab w:val="right" w:pos="9026"/>
      </w:tabs>
    </w:pPr>
  </w:style>
  <w:style w:type="character" w:customStyle="1" w:styleId="FooterChar">
    <w:name w:val="Footer Char"/>
    <w:basedOn w:val="DefaultParagraphFont"/>
    <w:link w:val="Footer"/>
    <w:uiPriority w:val="99"/>
    <w:rsid w:val="00C76140"/>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932B02"/>
    <w:rPr>
      <w:color w:val="605E5C"/>
      <w:shd w:val="clear" w:color="auto" w:fill="E1DFDD"/>
    </w:rPr>
  </w:style>
  <w:style w:type="character" w:styleId="FollowedHyperlink">
    <w:name w:val="FollowedHyperlink"/>
    <w:basedOn w:val="DefaultParagraphFont"/>
    <w:uiPriority w:val="99"/>
    <w:semiHidden/>
    <w:unhideWhenUsed/>
    <w:rsid w:val="00932B02"/>
    <w:rPr>
      <w:color w:val="800080" w:themeColor="followedHyperlink"/>
      <w:u w:val="single"/>
    </w:rPr>
  </w:style>
  <w:style w:type="paragraph" w:styleId="NormalWeb">
    <w:name w:val="Normal (Web)"/>
    <w:basedOn w:val="Normal"/>
    <w:uiPriority w:val="99"/>
    <w:semiHidden/>
    <w:unhideWhenUsed/>
    <w:rsid w:val="007654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403DEE"/>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5221">
      <w:bodyDiv w:val="1"/>
      <w:marLeft w:val="0"/>
      <w:marRight w:val="0"/>
      <w:marTop w:val="0"/>
      <w:marBottom w:val="0"/>
      <w:divBdr>
        <w:top w:val="none" w:sz="0" w:space="0" w:color="auto"/>
        <w:left w:val="none" w:sz="0" w:space="0" w:color="auto"/>
        <w:bottom w:val="none" w:sz="0" w:space="0" w:color="auto"/>
        <w:right w:val="none" w:sz="0" w:space="0" w:color="auto"/>
      </w:divBdr>
    </w:div>
    <w:div w:id="1285578159">
      <w:bodyDiv w:val="1"/>
      <w:marLeft w:val="0"/>
      <w:marRight w:val="0"/>
      <w:marTop w:val="0"/>
      <w:marBottom w:val="0"/>
      <w:divBdr>
        <w:top w:val="none" w:sz="0" w:space="0" w:color="auto"/>
        <w:left w:val="none" w:sz="0" w:space="0" w:color="auto"/>
        <w:bottom w:val="none" w:sz="0" w:space="0" w:color="auto"/>
        <w:right w:val="none" w:sz="0" w:space="0" w:color="auto"/>
      </w:divBdr>
    </w:div>
    <w:div w:id="1361584604">
      <w:bodyDiv w:val="1"/>
      <w:marLeft w:val="0"/>
      <w:marRight w:val="0"/>
      <w:marTop w:val="0"/>
      <w:marBottom w:val="0"/>
      <w:divBdr>
        <w:top w:val="none" w:sz="0" w:space="0" w:color="auto"/>
        <w:left w:val="none" w:sz="0" w:space="0" w:color="auto"/>
        <w:bottom w:val="none" w:sz="0" w:space="0" w:color="auto"/>
        <w:right w:val="none" w:sz="0" w:space="0" w:color="auto"/>
      </w:divBdr>
    </w:div>
    <w:div w:id="1380593956">
      <w:bodyDiv w:val="1"/>
      <w:marLeft w:val="0"/>
      <w:marRight w:val="0"/>
      <w:marTop w:val="0"/>
      <w:marBottom w:val="0"/>
      <w:divBdr>
        <w:top w:val="none" w:sz="0" w:space="0" w:color="auto"/>
        <w:left w:val="none" w:sz="0" w:space="0" w:color="auto"/>
        <w:bottom w:val="none" w:sz="0" w:space="0" w:color="auto"/>
        <w:right w:val="none" w:sz="0" w:space="0" w:color="auto"/>
      </w:divBdr>
    </w:div>
    <w:div w:id="147614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fr/exami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bo.org/fr/jobs-and-careers/become-an-assessment-ib-educator/declaring-connections-with-a-sch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ibo.org/dp/topic/Use-of-calculators/resource/11162-38795/?lang=fr" TargetMode="External"/><Relationship Id="rId5" Type="http://schemas.openxmlformats.org/officeDocument/2006/relationships/numbering" Target="numbering.xml"/><Relationship Id="rId15" Type="http://schemas.openxmlformats.org/officeDocument/2006/relationships/hyperlink" Target="https://europa.eu/europass/fr/common-european-framework-reference-language-skil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fr/web/common-european-framework-reference-languages/table-1-cefr-3.3-common-reference-levels-global-sc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D6D26DD8BD040A0E1A0B61B084D07" ma:contentTypeVersion="13" ma:contentTypeDescription="Create a new document." ma:contentTypeScope="" ma:versionID="de3732d51b6da0ac8d57a4af820d812f">
  <xsd:schema xmlns:xsd="http://www.w3.org/2001/XMLSchema" xmlns:xs="http://www.w3.org/2001/XMLSchema" xmlns:p="http://schemas.microsoft.com/office/2006/metadata/properties" xmlns:ns3="cace60d2-578f-4878-932a-cc1eec2788f5" xmlns:ns4="456d2a50-0c56-412c-9938-1a17e2aa9f41" targetNamespace="http://schemas.microsoft.com/office/2006/metadata/properties" ma:root="true" ma:fieldsID="0841a15b01e3582f458b71e23f1a3f8c" ns3:_="" ns4:_="">
    <xsd:import namespace="cace60d2-578f-4878-932a-cc1eec2788f5"/>
    <xsd:import namespace="456d2a50-0c56-412c-9938-1a17e2aa9f4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e60d2-578f-4878-932a-cc1eec2788f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d2a50-0c56-412c-9938-1a17e2aa9f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70466-9EAC-439F-A5DD-2C0E812D99F2}">
  <ds:schemaRefs>
    <ds:schemaRef ds:uri="http://schemas.openxmlformats.org/officeDocument/2006/bibliography"/>
  </ds:schemaRefs>
</ds:datastoreItem>
</file>

<file path=customXml/itemProps2.xml><?xml version="1.0" encoding="utf-8"?>
<ds:datastoreItem xmlns:ds="http://schemas.openxmlformats.org/officeDocument/2006/customXml" ds:itemID="{629BF132-E9F0-4D34-8F13-264F27B5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e60d2-578f-4878-932a-cc1eec2788f5"/>
    <ds:schemaRef ds:uri="456d2a50-0c56-412c-9938-1a17e2aa9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D3385-A00D-4805-87EA-9D8860CC30E8}">
  <ds:schemaRefs>
    <ds:schemaRef ds:uri="http://schemas.microsoft.com/sharepoint/v3/contenttype/forms"/>
  </ds:schemaRefs>
</ds:datastoreItem>
</file>

<file path=customXml/itemProps4.xml><?xml version="1.0" encoding="utf-8"?>
<ds:datastoreItem xmlns:ds="http://schemas.openxmlformats.org/officeDocument/2006/customXml" ds:itemID="{7A22D0A5-4EFD-4604-A178-4D44DC49F0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Roberts</dc:creator>
  <cp:lastModifiedBy>Savannah Fecht</cp:lastModifiedBy>
  <cp:revision>5</cp:revision>
  <dcterms:created xsi:type="dcterms:W3CDTF">2022-10-03T10:04:00Z</dcterms:created>
  <dcterms:modified xsi:type="dcterms:W3CDTF">2022-10-03T10:06:00Z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Acrobat PDFMaker 19 for Word</vt:lpwstr>
  </property>
  <property fmtid="{D5CDD505-2E9C-101B-9397-08002B2CF9AE}" pid="4" name="LastSaved">
    <vt:filetime>2019-08-14T00:00:00Z</vt:filetime>
  </property>
  <property fmtid="{D5CDD505-2E9C-101B-9397-08002B2CF9AE}" pid="5" name="ContentTypeId">
    <vt:lpwstr>0x010100677D6D26DD8BD040A0E1A0B61B084D07</vt:lpwstr>
  </property>
</Properties>
</file>