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5058D" w:rsidRDefault="0035058D" w:rsidP="00403DEE">
      <w:pPr>
        <w:pStyle w:val="BodyText"/>
        <w:rPr>
          <w:rFonts w:ascii="Times New Roman"/>
          <w:sz w:val="20"/>
        </w:rPr>
      </w:pPr>
      <w:bookmarkStart w:id="0" w:name="_GoBack"/>
      <w:bookmarkEnd w:id="0"/>
    </w:p>
    <w:p w14:paraId="0A37501D" w14:textId="77777777" w:rsidR="0035058D" w:rsidRDefault="0035058D" w:rsidP="00403DEE">
      <w:pPr>
        <w:pStyle w:val="BodyText"/>
        <w:spacing w:before="6"/>
        <w:rPr>
          <w:rFonts w:ascii="Times New Roman"/>
          <w:sz w:val="27"/>
        </w:rPr>
      </w:pPr>
    </w:p>
    <w:p w14:paraId="302E9856" w14:textId="77777777" w:rsidR="0035058D" w:rsidRDefault="008B499F" w:rsidP="00403DEE">
      <w:pPr>
        <w:spacing w:before="35"/>
        <w:ind w:left="117"/>
        <w:rPr>
          <w:sz w:val="32"/>
        </w:rPr>
      </w:pPr>
      <w:r>
        <w:rPr>
          <w:color w:val="006FC0"/>
          <w:sz w:val="32"/>
        </w:rPr>
        <w:t>IB Examiner recruitment policy</w:t>
      </w:r>
    </w:p>
    <w:p w14:paraId="29EAC3F1" w14:textId="37395BC3" w:rsidR="0035058D" w:rsidRDefault="008B499F" w:rsidP="00403DEE">
      <w:pPr>
        <w:pStyle w:val="BodyText"/>
        <w:tabs>
          <w:tab w:val="left" w:pos="2277"/>
        </w:tabs>
        <w:spacing w:before="191"/>
        <w:ind w:left="117"/>
      </w:pPr>
      <w:r>
        <w:t>Version</w:t>
      </w:r>
      <w:r>
        <w:rPr>
          <w:spacing w:val="-3"/>
        </w:rPr>
        <w:t xml:space="preserve"> </w:t>
      </w:r>
      <w:r>
        <w:t>1.</w:t>
      </w:r>
      <w:r w:rsidR="002C4937">
        <w:t>6</w:t>
      </w:r>
      <w:r w:rsidR="50FC1C27">
        <w:t xml:space="preserve"> 01</w:t>
      </w:r>
      <w:r w:rsidR="006D5370">
        <w:t>/</w:t>
      </w:r>
      <w:r w:rsidR="06C40650">
        <w:t>07</w:t>
      </w:r>
      <w:r w:rsidR="006D5370">
        <w:t>/2</w:t>
      </w:r>
      <w:r w:rsidR="002C4937">
        <w:t>1</w:t>
      </w:r>
    </w:p>
    <w:p w14:paraId="41783EBC" w14:textId="77777777" w:rsidR="0035058D" w:rsidRDefault="008B499F" w:rsidP="00403DEE">
      <w:pPr>
        <w:pStyle w:val="Heading1"/>
        <w:numPr>
          <w:ilvl w:val="0"/>
          <w:numId w:val="2"/>
        </w:numPr>
        <w:tabs>
          <w:tab w:val="left" w:pos="478"/>
        </w:tabs>
        <w:spacing w:before="183"/>
      </w:pPr>
      <w:r>
        <w:t>Document</w:t>
      </w:r>
      <w:r>
        <w:rPr>
          <w:spacing w:val="-3"/>
        </w:rPr>
        <w:t xml:space="preserve"> </w:t>
      </w:r>
      <w:r>
        <w:t>purpose</w:t>
      </w:r>
    </w:p>
    <w:p w14:paraId="0C20799D" w14:textId="77777777" w:rsidR="0035058D" w:rsidRDefault="008B499F" w:rsidP="00403DEE">
      <w:pPr>
        <w:pStyle w:val="BodyText"/>
        <w:spacing w:before="25" w:line="259" w:lineRule="auto"/>
        <w:ind w:left="477" w:right="205"/>
      </w:pPr>
      <w:r>
        <w:t xml:space="preserve">The purpose of this document is to specify the minimum requirements applicants must meet in order to be appointed as an IB Examiner for either the Middle Years Programme (MYP) or Diploma Programme (DP)/ Career-related Programme (CP). In addition, the document also outlines desirable qualities which may be </w:t>
      </w:r>
      <w:proofErr w:type="gramStart"/>
      <w:r>
        <w:t>taken into account</w:t>
      </w:r>
      <w:proofErr w:type="gramEnd"/>
      <w:r>
        <w:t xml:space="preserve"> during the appointment process.</w:t>
      </w:r>
    </w:p>
    <w:p w14:paraId="5DAB6C7B" w14:textId="77777777" w:rsidR="0035058D" w:rsidRDefault="0035058D" w:rsidP="00403DEE">
      <w:pPr>
        <w:pStyle w:val="BodyText"/>
        <w:spacing w:before="9"/>
        <w:rPr>
          <w:sz w:val="23"/>
        </w:rPr>
      </w:pPr>
    </w:p>
    <w:p w14:paraId="182CC282" w14:textId="77777777" w:rsidR="0035058D" w:rsidRDefault="008B499F" w:rsidP="00403DEE">
      <w:pPr>
        <w:pStyle w:val="Heading1"/>
        <w:numPr>
          <w:ilvl w:val="0"/>
          <w:numId w:val="2"/>
        </w:numPr>
        <w:tabs>
          <w:tab w:val="left" w:pos="478"/>
        </w:tabs>
      </w:pPr>
      <w:r>
        <w:t>Applicant</w:t>
      </w:r>
      <w:r>
        <w:rPr>
          <w:spacing w:val="-3"/>
        </w:rPr>
        <w:t xml:space="preserve"> </w:t>
      </w:r>
      <w:r>
        <w:t>requirements</w:t>
      </w:r>
    </w:p>
    <w:p w14:paraId="762C5CC0" w14:textId="77777777" w:rsidR="0035058D" w:rsidRDefault="008B499F" w:rsidP="00403DEE">
      <w:pPr>
        <w:pStyle w:val="BodyText"/>
        <w:spacing w:before="25" w:line="259" w:lineRule="auto"/>
        <w:ind w:left="458" w:right="820"/>
      </w:pPr>
      <w:r>
        <w:t xml:space="preserve">The list below identifies the requirements an applicant </w:t>
      </w:r>
      <w:r>
        <w:rPr>
          <w:b/>
        </w:rPr>
        <w:t xml:space="preserve">must </w:t>
      </w:r>
      <w:r w:rsidR="00733941">
        <w:t xml:space="preserve">meet </w:t>
      </w:r>
      <w:r>
        <w:t>in order to be considered as an Examiner for the IB.</w:t>
      </w:r>
    </w:p>
    <w:p w14:paraId="13C5AB51" w14:textId="77777777" w:rsidR="0035058D" w:rsidRDefault="008B499F" w:rsidP="00403DEE">
      <w:pPr>
        <w:pStyle w:val="ListParagraph"/>
        <w:numPr>
          <w:ilvl w:val="1"/>
          <w:numId w:val="2"/>
        </w:numPr>
        <w:tabs>
          <w:tab w:val="left" w:pos="902"/>
          <w:tab w:val="left" w:pos="903"/>
        </w:tabs>
        <w:spacing w:before="1" w:line="256" w:lineRule="auto"/>
        <w:ind w:right="230" w:hanging="360"/>
      </w:pPr>
      <w:r>
        <w:t xml:space="preserve">Applicants </w:t>
      </w:r>
      <w:r>
        <w:rPr>
          <w:b/>
        </w:rPr>
        <w:t xml:space="preserve">must </w:t>
      </w:r>
      <w:r>
        <w:t>have a degree or equivalent in the subject (or a related subject) for which they are applying.</w:t>
      </w:r>
    </w:p>
    <w:p w14:paraId="7D4483B7" w14:textId="77777777" w:rsidR="0035058D" w:rsidRDefault="008B499F" w:rsidP="00403DEE">
      <w:pPr>
        <w:pStyle w:val="ListParagraph"/>
        <w:numPr>
          <w:ilvl w:val="1"/>
          <w:numId w:val="2"/>
        </w:numPr>
        <w:tabs>
          <w:tab w:val="left" w:pos="902"/>
          <w:tab w:val="left" w:pos="903"/>
        </w:tabs>
        <w:spacing w:before="4" w:line="259" w:lineRule="auto"/>
        <w:ind w:right="833" w:hanging="360"/>
      </w:pPr>
      <w:r>
        <w:t xml:space="preserve">Applicants </w:t>
      </w:r>
      <w:r>
        <w:rPr>
          <w:b/>
        </w:rPr>
        <w:t xml:space="preserve">must </w:t>
      </w:r>
      <w:r>
        <w:t>have a minimum of one year’s experience teaching the subject (or a related subject) for which they are applying to students in an appropriate age</w:t>
      </w:r>
      <w:r>
        <w:rPr>
          <w:spacing w:val="-16"/>
        </w:rPr>
        <w:t xml:space="preserve"> </w:t>
      </w:r>
      <w:r>
        <w:t>range.</w:t>
      </w:r>
    </w:p>
    <w:p w14:paraId="48C5C19B" w14:textId="77777777" w:rsidR="0035058D" w:rsidRDefault="008B499F" w:rsidP="00403DEE">
      <w:pPr>
        <w:pStyle w:val="ListParagraph"/>
        <w:numPr>
          <w:ilvl w:val="2"/>
          <w:numId w:val="2"/>
        </w:numPr>
        <w:tabs>
          <w:tab w:val="left" w:pos="2277"/>
          <w:tab w:val="left" w:pos="2278"/>
        </w:tabs>
        <w:spacing w:before="0" w:line="274" w:lineRule="exact"/>
        <w:ind w:hanging="360"/>
      </w:pPr>
      <w:r>
        <w:t>14 to 16 years of age –</w:t>
      </w:r>
      <w:r>
        <w:rPr>
          <w:spacing w:val="-4"/>
        </w:rPr>
        <w:t xml:space="preserve"> </w:t>
      </w:r>
      <w:r>
        <w:t>MYP</w:t>
      </w:r>
    </w:p>
    <w:p w14:paraId="02EB378F" w14:textId="77777777" w:rsidR="0035058D" w:rsidRDefault="0035058D" w:rsidP="00403DEE">
      <w:pPr>
        <w:pStyle w:val="BodyText"/>
        <w:spacing w:before="1"/>
        <w:rPr>
          <w:sz w:val="19"/>
        </w:rPr>
      </w:pPr>
    </w:p>
    <w:p w14:paraId="4E6ED97A" w14:textId="77777777" w:rsidR="0035058D" w:rsidRDefault="008B499F" w:rsidP="00403DEE">
      <w:pPr>
        <w:pStyle w:val="ListParagraph"/>
        <w:numPr>
          <w:ilvl w:val="2"/>
          <w:numId w:val="2"/>
        </w:numPr>
        <w:tabs>
          <w:tab w:val="left" w:pos="2277"/>
          <w:tab w:val="left" w:pos="2278"/>
        </w:tabs>
        <w:spacing w:before="1"/>
        <w:ind w:hanging="360"/>
      </w:pPr>
      <w:r>
        <w:t>16 to 19 years of age –</w:t>
      </w:r>
      <w:r>
        <w:rPr>
          <w:spacing w:val="-4"/>
        </w:rPr>
        <w:t xml:space="preserve"> </w:t>
      </w:r>
      <w:r>
        <w:t>DP/CP</w:t>
      </w:r>
    </w:p>
    <w:p w14:paraId="6A05A809" w14:textId="77777777" w:rsidR="0035058D" w:rsidRDefault="0035058D" w:rsidP="00403DEE">
      <w:pPr>
        <w:pStyle w:val="BodyText"/>
        <w:spacing w:before="1"/>
        <w:rPr>
          <w:sz w:val="19"/>
        </w:rPr>
      </w:pPr>
    </w:p>
    <w:p w14:paraId="0BE76BD1" w14:textId="77777777" w:rsidR="0035058D" w:rsidRDefault="008B499F" w:rsidP="00403DEE">
      <w:pPr>
        <w:pStyle w:val="ListParagraph"/>
        <w:numPr>
          <w:ilvl w:val="1"/>
          <w:numId w:val="2"/>
        </w:numPr>
        <w:tabs>
          <w:tab w:val="left" w:pos="868"/>
          <w:tab w:val="left" w:pos="870"/>
        </w:tabs>
        <w:spacing w:before="0"/>
        <w:ind w:left="869"/>
      </w:pPr>
      <w:r>
        <w:t xml:space="preserve">Applicants who are no longer teaching </w:t>
      </w:r>
      <w:r>
        <w:rPr>
          <w:b/>
        </w:rPr>
        <w:t xml:space="preserve">must </w:t>
      </w:r>
      <w:r>
        <w:t>have taught or examined within the last three</w:t>
      </w:r>
      <w:r>
        <w:rPr>
          <w:spacing w:val="-25"/>
        </w:rPr>
        <w:t xml:space="preserve"> </w:t>
      </w:r>
      <w:r>
        <w:t>years.</w:t>
      </w:r>
    </w:p>
    <w:p w14:paraId="5A39BBE3" w14:textId="77777777" w:rsidR="00776E89" w:rsidRDefault="00776E89" w:rsidP="00403DEE">
      <w:pPr>
        <w:pStyle w:val="ListParagraph"/>
        <w:tabs>
          <w:tab w:val="left" w:pos="868"/>
          <w:tab w:val="left" w:pos="870"/>
        </w:tabs>
        <w:spacing w:before="0"/>
        <w:ind w:left="869" w:firstLine="0"/>
      </w:pPr>
    </w:p>
    <w:p w14:paraId="69B13B58" w14:textId="77777777" w:rsidR="0035058D" w:rsidRDefault="008B499F" w:rsidP="00403DEE">
      <w:pPr>
        <w:pStyle w:val="ListParagraph"/>
        <w:numPr>
          <w:ilvl w:val="1"/>
          <w:numId w:val="2"/>
        </w:numPr>
        <w:rPr>
          <w:rFonts w:asciiTheme="minorHAnsi" w:eastAsiaTheme="minorEastAsia" w:hAnsiTheme="minorHAnsi" w:cstheme="minorBidi"/>
          <w:lang w:bidi="ar-SA"/>
        </w:rPr>
      </w:pPr>
      <w:r>
        <w:t xml:space="preserve">Applicants for DP mathematics subjects </w:t>
      </w:r>
      <w:r w:rsidRPr="42C74C48">
        <w:rPr>
          <w:b/>
          <w:bCs/>
        </w:rPr>
        <w:t xml:space="preserve">must </w:t>
      </w:r>
      <w:r w:rsidR="009E1154" w:rsidRPr="42C74C48">
        <w:rPr>
          <w:rFonts w:cstheme="minorBidi"/>
        </w:rPr>
        <w:t xml:space="preserve">be competent in using an IB approved calculator as outlined here: </w:t>
      </w:r>
      <w:hyperlink r:id="rId11">
        <w:r w:rsidR="00BE0614" w:rsidRPr="42C74C48">
          <w:rPr>
            <w:rStyle w:val="Hyperlink"/>
          </w:rPr>
          <w:t>https://www.ibo.org/contentassets/40baa9d7fb72482881be9a12f217f8a9/use-of-calculators-in-examinations-2020_e.pdf</w:t>
        </w:r>
      </w:hyperlink>
    </w:p>
    <w:p w14:paraId="41C8F396" w14:textId="77777777" w:rsidR="00BE0614" w:rsidRPr="00BE0614" w:rsidRDefault="00BE0614" w:rsidP="00403DEE">
      <w:pPr>
        <w:rPr>
          <w:rFonts w:eastAsiaTheme="minorHAnsi"/>
          <w:lang w:bidi="ar-SA"/>
        </w:rPr>
      </w:pPr>
    </w:p>
    <w:p w14:paraId="16B30CC5" w14:textId="1BACEFA0" w:rsidR="0035058D" w:rsidRDefault="008B499F" w:rsidP="00403DEE">
      <w:pPr>
        <w:pStyle w:val="ListParagraph"/>
        <w:numPr>
          <w:ilvl w:val="1"/>
          <w:numId w:val="2"/>
        </w:numPr>
        <w:tabs>
          <w:tab w:val="left" w:pos="854"/>
          <w:tab w:val="left" w:pos="855"/>
        </w:tabs>
        <w:spacing w:before="0" w:line="273" w:lineRule="auto"/>
        <w:ind w:left="854" w:right="110" w:hanging="357"/>
      </w:pPr>
      <w:r>
        <w:t xml:space="preserve">Applicants for Theory of Knowledge </w:t>
      </w:r>
      <w:r w:rsidR="3C249143">
        <w:t xml:space="preserve">or Reflective Project </w:t>
      </w:r>
      <w:r w:rsidRPr="3D542EAF">
        <w:rPr>
          <w:b/>
          <w:bCs/>
        </w:rPr>
        <w:t xml:space="preserve">must </w:t>
      </w:r>
      <w:r>
        <w:t xml:space="preserve">have experience of teaching the subject in an IB </w:t>
      </w:r>
      <w:r w:rsidR="00FF745F">
        <w:t>W</w:t>
      </w:r>
      <w:r>
        <w:t xml:space="preserve">orld </w:t>
      </w:r>
      <w:r w:rsidR="00FF745F">
        <w:t>S</w:t>
      </w:r>
      <w:r>
        <w:t>chool.</w:t>
      </w:r>
    </w:p>
    <w:p w14:paraId="72A3D3EC" w14:textId="77777777" w:rsidR="0035058D" w:rsidRDefault="0035058D" w:rsidP="00403DEE">
      <w:pPr>
        <w:pStyle w:val="BodyText"/>
        <w:spacing w:before="9"/>
        <w:rPr>
          <w:sz w:val="16"/>
        </w:rPr>
      </w:pPr>
    </w:p>
    <w:p w14:paraId="67CC74D1" w14:textId="77777777" w:rsidR="0035058D" w:rsidRDefault="008B499F" w:rsidP="00403DEE">
      <w:pPr>
        <w:pStyle w:val="ListParagraph"/>
        <w:numPr>
          <w:ilvl w:val="0"/>
          <w:numId w:val="1"/>
        </w:numPr>
        <w:tabs>
          <w:tab w:val="left" w:pos="831"/>
          <w:tab w:val="left" w:pos="832"/>
        </w:tabs>
        <w:spacing w:before="0"/>
        <w:ind w:right="667"/>
      </w:pPr>
      <w:r>
        <w:t>Applicants must be able to assess candidates and write reports in the response language of the subject being</w:t>
      </w:r>
      <w:r>
        <w:rPr>
          <w:spacing w:val="-1"/>
        </w:rPr>
        <w:t xml:space="preserve"> </w:t>
      </w:r>
      <w:r>
        <w:t>assessed.</w:t>
      </w:r>
    </w:p>
    <w:p w14:paraId="0D0B940D" w14:textId="77777777" w:rsidR="0035058D" w:rsidRDefault="0035058D" w:rsidP="00403DEE">
      <w:pPr>
        <w:pStyle w:val="BodyText"/>
        <w:spacing w:before="4"/>
        <w:rPr>
          <w:sz w:val="16"/>
        </w:rPr>
      </w:pPr>
    </w:p>
    <w:p w14:paraId="7D8393EC" w14:textId="77777777" w:rsidR="0035058D" w:rsidRDefault="008B499F" w:rsidP="00403DEE">
      <w:pPr>
        <w:pStyle w:val="ListParagraph"/>
        <w:numPr>
          <w:ilvl w:val="0"/>
          <w:numId w:val="1"/>
        </w:numPr>
        <w:tabs>
          <w:tab w:val="left" w:pos="838"/>
          <w:tab w:val="left" w:pos="839"/>
        </w:tabs>
        <w:spacing w:before="1"/>
        <w:ind w:left="838" w:hanging="360"/>
      </w:pPr>
      <w:r>
        <w:t xml:space="preserve">Applicants </w:t>
      </w:r>
      <w:r>
        <w:rPr>
          <w:b/>
        </w:rPr>
        <w:t xml:space="preserve">must </w:t>
      </w:r>
      <w:r>
        <w:t>have the ability to communicate and read documents in English, French or</w:t>
      </w:r>
      <w:r>
        <w:rPr>
          <w:spacing w:val="-28"/>
        </w:rPr>
        <w:t xml:space="preserve"> </w:t>
      </w:r>
      <w:r>
        <w:t>Spanish.</w:t>
      </w:r>
    </w:p>
    <w:p w14:paraId="0E27B00A" w14:textId="77777777" w:rsidR="0035058D" w:rsidRDefault="0035058D" w:rsidP="00403DEE">
      <w:pPr>
        <w:pStyle w:val="BodyText"/>
        <w:spacing w:before="10"/>
        <w:rPr>
          <w:sz w:val="23"/>
        </w:rPr>
      </w:pPr>
    </w:p>
    <w:p w14:paraId="7BEE4FAE" w14:textId="77777777" w:rsidR="0035058D" w:rsidRDefault="008B499F" w:rsidP="00403DEE">
      <w:pPr>
        <w:pStyle w:val="ListParagraph"/>
        <w:numPr>
          <w:ilvl w:val="0"/>
          <w:numId w:val="1"/>
        </w:numPr>
        <w:tabs>
          <w:tab w:val="left" w:pos="857"/>
          <w:tab w:val="left" w:pos="858"/>
        </w:tabs>
        <w:spacing w:before="0" w:line="256" w:lineRule="auto"/>
        <w:ind w:left="857" w:right="292" w:hanging="360"/>
      </w:pPr>
      <w:r>
        <w:t xml:space="preserve">Applicants </w:t>
      </w:r>
      <w:r>
        <w:rPr>
          <w:b/>
        </w:rPr>
        <w:t xml:space="preserve">must </w:t>
      </w:r>
      <w:r>
        <w:t>have access to the internet, via a broadband connection with a minimum speed of 256kbps (2Mbps minimum recommended), in a secure environment that is suitable for marking confidential assessment</w:t>
      </w:r>
      <w:r>
        <w:rPr>
          <w:spacing w:val="-3"/>
        </w:rPr>
        <w:t xml:space="preserve"> </w:t>
      </w:r>
      <w:r>
        <w:t>material.</w:t>
      </w:r>
    </w:p>
    <w:p w14:paraId="60061E4C" w14:textId="77777777" w:rsidR="0035058D" w:rsidRDefault="0035058D" w:rsidP="00403DEE">
      <w:pPr>
        <w:pStyle w:val="BodyText"/>
        <w:spacing w:before="4"/>
        <w:rPr>
          <w:sz w:val="24"/>
        </w:rPr>
      </w:pPr>
    </w:p>
    <w:p w14:paraId="31AAA1A4" w14:textId="77777777" w:rsidR="0035058D" w:rsidRDefault="008B499F" w:rsidP="00403DEE">
      <w:pPr>
        <w:pStyle w:val="ListParagraph"/>
        <w:numPr>
          <w:ilvl w:val="0"/>
          <w:numId w:val="1"/>
        </w:numPr>
        <w:tabs>
          <w:tab w:val="left" w:pos="869"/>
          <w:tab w:val="left" w:pos="870"/>
        </w:tabs>
        <w:spacing w:before="0"/>
        <w:ind w:left="869" w:hanging="360"/>
      </w:pPr>
      <w:r>
        <w:t xml:space="preserve">All IB </w:t>
      </w:r>
      <w:r w:rsidR="00D3598B">
        <w:t>E</w:t>
      </w:r>
      <w:r>
        <w:t>xaminer applications must be supported by a minimum of two professional</w:t>
      </w:r>
      <w:r>
        <w:rPr>
          <w:spacing w:val="-17"/>
        </w:rPr>
        <w:t xml:space="preserve"> </w:t>
      </w:r>
      <w:r>
        <w:t>references.</w:t>
      </w:r>
    </w:p>
    <w:p w14:paraId="6C030F75" w14:textId="77777777" w:rsidR="0035058D" w:rsidRDefault="008B499F" w:rsidP="00403DEE">
      <w:pPr>
        <w:pStyle w:val="ListParagraph"/>
        <w:numPr>
          <w:ilvl w:val="1"/>
          <w:numId w:val="1"/>
        </w:numPr>
        <w:tabs>
          <w:tab w:val="left" w:pos="1918"/>
          <w:tab w:val="left" w:pos="1919"/>
        </w:tabs>
        <w:spacing w:before="41" w:line="266" w:lineRule="auto"/>
        <w:ind w:right="113" w:hanging="360"/>
      </w:pPr>
      <w:r>
        <w:t xml:space="preserve">If working at a school, at least one referee </w:t>
      </w:r>
      <w:r>
        <w:rPr>
          <w:b/>
        </w:rPr>
        <w:t xml:space="preserve">must </w:t>
      </w:r>
      <w:r>
        <w:t>be your Head of School, Deputy Head of School or, if an IB school, your IB</w:t>
      </w:r>
      <w:r>
        <w:rPr>
          <w:spacing w:val="-11"/>
        </w:rPr>
        <w:t xml:space="preserve"> </w:t>
      </w:r>
      <w:r>
        <w:t>Coordinator.</w:t>
      </w:r>
    </w:p>
    <w:p w14:paraId="55387104" w14:textId="77777777" w:rsidR="0035058D" w:rsidRDefault="008B499F" w:rsidP="00403DEE">
      <w:pPr>
        <w:pStyle w:val="ListParagraph"/>
        <w:numPr>
          <w:ilvl w:val="1"/>
          <w:numId w:val="1"/>
        </w:numPr>
        <w:tabs>
          <w:tab w:val="left" w:pos="1918"/>
          <w:tab w:val="left" w:pos="1919"/>
        </w:tabs>
        <w:spacing w:before="14" w:line="268" w:lineRule="auto"/>
        <w:ind w:right="112" w:hanging="360"/>
      </w:pPr>
      <w:r>
        <w:t xml:space="preserve">If recently retired or not currently working in education, at least one referee </w:t>
      </w:r>
      <w:r>
        <w:rPr>
          <w:b/>
        </w:rPr>
        <w:t xml:space="preserve">must </w:t>
      </w:r>
      <w:r>
        <w:t>be the Head of School, Deputy Head of School or IB coordinator of your last</w:t>
      </w:r>
      <w:r>
        <w:rPr>
          <w:spacing w:val="-19"/>
        </w:rPr>
        <w:t xml:space="preserve"> </w:t>
      </w:r>
      <w:r>
        <w:t>school.</w:t>
      </w:r>
    </w:p>
    <w:p w14:paraId="36179647" w14:textId="77777777" w:rsidR="0035058D" w:rsidRDefault="008B499F" w:rsidP="00403DEE">
      <w:pPr>
        <w:pStyle w:val="ListParagraph"/>
        <w:numPr>
          <w:ilvl w:val="1"/>
          <w:numId w:val="1"/>
        </w:numPr>
        <w:tabs>
          <w:tab w:val="left" w:pos="1918"/>
          <w:tab w:val="left" w:pos="1919"/>
        </w:tabs>
        <w:spacing w:before="8" w:line="268" w:lineRule="auto"/>
        <w:ind w:left="1919" w:right="113"/>
      </w:pPr>
      <w:r>
        <w:t xml:space="preserve">If working in a </w:t>
      </w:r>
      <w:r w:rsidR="000D2505">
        <w:t>c</w:t>
      </w:r>
      <w:r>
        <w:t xml:space="preserve">ollege or </w:t>
      </w:r>
      <w:r w:rsidR="000D2505">
        <w:t>u</w:t>
      </w:r>
      <w:r>
        <w:t xml:space="preserve">niversity, at least one referee </w:t>
      </w:r>
      <w:r>
        <w:rPr>
          <w:b/>
        </w:rPr>
        <w:t xml:space="preserve">must </w:t>
      </w:r>
      <w:r>
        <w:t>be in a senior position to you, such as a Head of</w:t>
      </w:r>
      <w:r>
        <w:rPr>
          <w:spacing w:val="-11"/>
        </w:rPr>
        <w:t xml:space="preserve"> </w:t>
      </w:r>
      <w:r>
        <w:t>Department.</w:t>
      </w:r>
    </w:p>
    <w:p w14:paraId="1A1A6125" w14:textId="77777777" w:rsidR="0035058D" w:rsidRDefault="008B499F" w:rsidP="00403DEE">
      <w:pPr>
        <w:pStyle w:val="ListParagraph"/>
        <w:numPr>
          <w:ilvl w:val="1"/>
          <w:numId w:val="1"/>
        </w:numPr>
        <w:tabs>
          <w:tab w:val="left" w:pos="1919"/>
          <w:tab w:val="left" w:pos="1920"/>
        </w:tabs>
        <w:spacing w:before="10"/>
        <w:ind w:left="1919" w:hanging="360"/>
      </w:pPr>
      <w:r>
        <w:t xml:space="preserve">Family members, friends and current IB employees will </w:t>
      </w:r>
      <w:r>
        <w:rPr>
          <w:b/>
        </w:rPr>
        <w:t xml:space="preserve">not </w:t>
      </w:r>
      <w:r>
        <w:t>be considered as</w:t>
      </w:r>
      <w:r>
        <w:rPr>
          <w:spacing w:val="-20"/>
        </w:rPr>
        <w:t xml:space="preserve"> </w:t>
      </w:r>
      <w:r>
        <w:t>referees.</w:t>
      </w:r>
    </w:p>
    <w:p w14:paraId="44EAFD9C" w14:textId="77777777" w:rsidR="0035058D" w:rsidRDefault="0035058D" w:rsidP="00403DEE">
      <w:pPr>
        <w:sectPr w:rsidR="0035058D">
          <w:headerReference w:type="default" r:id="rId12"/>
          <w:footerReference w:type="default" r:id="rId13"/>
          <w:type w:val="continuous"/>
          <w:pgSz w:w="11910" w:h="16840"/>
          <w:pgMar w:top="1620" w:right="960" w:bottom="1100" w:left="960" w:header="709" w:footer="918" w:gutter="0"/>
          <w:pgNumType w:start="1"/>
          <w:cols w:space="720"/>
        </w:sectPr>
      </w:pPr>
    </w:p>
    <w:p w14:paraId="4B94D5A5" w14:textId="77777777" w:rsidR="0035058D" w:rsidRDefault="008B499F" w:rsidP="00403DEE">
      <w:pPr>
        <w:pStyle w:val="BodyText"/>
        <w:ind w:left="6794"/>
        <w:rPr>
          <w:sz w:val="20"/>
        </w:rPr>
      </w:pPr>
      <w:r>
        <w:rPr>
          <w:noProof/>
        </w:rPr>
        <w:lastRenderedPageBreak/>
        <w:drawing>
          <wp:inline distT="0" distB="0" distL="0" distR="0" wp14:anchorId="670A0DC1" wp14:editId="0C524913">
            <wp:extent cx="1923023" cy="581596"/>
            <wp:effectExtent l="0" t="0" r="0" b="0"/>
            <wp:docPr id="4648818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3023" cy="581596"/>
                    </a:xfrm>
                    <a:prstGeom prst="rect">
                      <a:avLst/>
                    </a:prstGeom>
                  </pic:spPr>
                </pic:pic>
              </a:graphicData>
            </a:graphic>
          </wp:inline>
        </w:drawing>
      </w:r>
    </w:p>
    <w:p w14:paraId="1F1675EB" w14:textId="77777777" w:rsidR="0035058D" w:rsidRDefault="008B499F" w:rsidP="00403DEE">
      <w:pPr>
        <w:pStyle w:val="ListParagraph"/>
        <w:numPr>
          <w:ilvl w:val="0"/>
          <w:numId w:val="1"/>
        </w:numPr>
        <w:tabs>
          <w:tab w:val="left" w:pos="838"/>
        </w:tabs>
        <w:spacing w:before="4" w:line="276" w:lineRule="auto"/>
        <w:ind w:left="837" w:right="109" w:hanging="360"/>
      </w:pPr>
      <w:r>
        <w:t>Applicants must notify their referees that references may be requested to support their application. An</w:t>
      </w:r>
      <w:r>
        <w:rPr>
          <w:spacing w:val="-12"/>
        </w:rPr>
        <w:t xml:space="preserve"> </w:t>
      </w:r>
      <w:r>
        <w:t>applicant</w:t>
      </w:r>
      <w:r>
        <w:rPr>
          <w:spacing w:val="-11"/>
        </w:rPr>
        <w:t xml:space="preserve"> </w:t>
      </w:r>
      <w:r>
        <w:t>will</w:t>
      </w:r>
      <w:r>
        <w:rPr>
          <w:spacing w:val="-11"/>
        </w:rPr>
        <w:t xml:space="preserve"> </w:t>
      </w:r>
      <w:r>
        <w:t>not</w:t>
      </w:r>
      <w:r>
        <w:rPr>
          <w:spacing w:val="-11"/>
        </w:rPr>
        <w:t xml:space="preserve"> </w:t>
      </w:r>
      <w:r>
        <w:t>be</w:t>
      </w:r>
      <w:r>
        <w:rPr>
          <w:spacing w:val="-13"/>
        </w:rPr>
        <w:t xml:space="preserve"> </w:t>
      </w:r>
      <w:r>
        <w:t>appointed</w:t>
      </w:r>
      <w:r>
        <w:rPr>
          <w:spacing w:val="-11"/>
        </w:rPr>
        <w:t xml:space="preserve"> </w:t>
      </w:r>
      <w:r>
        <w:t>until</w:t>
      </w:r>
      <w:r>
        <w:rPr>
          <w:spacing w:val="-12"/>
        </w:rPr>
        <w:t xml:space="preserve"> </w:t>
      </w:r>
      <w:r>
        <w:t>the</w:t>
      </w:r>
      <w:r>
        <w:rPr>
          <w:spacing w:val="-13"/>
        </w:rPr>
        <w:t xml:space="preserve"> </w:t>
      </w:r>
      <w:r>
        <w:t>IB</w:t>
      </w:r>
      <w:r>
        <w:rPr>
          <w:spacing w:val="-10"/>
        </w:rPr>
        <w:t xml:space="preserve"> </w:t>
      </w:r>
      <w:r>
        <w:t>has</w:t>
      </w:r>
      <w:r>
        <w:rPr>
          <w:spacing w:val="-11"/>
        </w:rPr>
        <w:t xml:space="preserve"> </w:t>
      </w:r>
      <w:r>
        <w:t>received</w:t>
      </w:r>
      <w:r>
        <w:rPr>
          <w:spacing w:val="-12"/>
        </w:rPr>
        <w:t xml:space="preserve"> </w:t>
      </w:r>
      <w:r>
        <w:t>at</w:t>
      </w:r>
      <w:r>
        <w:rPr>
          <w:spacing w:val="-10"/>
        </w:rPr>
        <w:t xml:space="preserve"> </w:t>
      </w:r>
      <w:r>
        <w:t>least</w:t>
      </w:r>
      <w:r>
        <w:rPr>
          <w:spacing w:val="-13"/>
        </w:rPr>
        <w:t xml:space="preserve"> </w:t>
      </w:r>
      <w:r>
        <w:t>two</w:t>
      </w:r>
      <w:r>
        <w:rPr>
          <w:spacing w:val="-10"/>
        </w:rPr>
        <w:t xml:space="preserve"> </w:t>
      </w:r>
      <w:r>
        <w:t>satisfactory</w:t>
      </w:r>
      <w:r>
        <w:rPr>
          <w:spacing w:val="-10"/>
        </w:rPr>
        <w:t xml:space="preserve"> </w:t>
      </w:r>
      <w:r>
        <w:t>references</w:t>
      </w:r>
      <w:r>
        <w:rPr>
          <w:spacing w:val="-11"/>
        </w:rPr>
        <w:t xml:space="preserve"> </w:t>
      </w:r>
      <w:r>
        <w:t>directly from the referees</w:t>
      </w:r>
      <w:r>
        <w:rPr>
          <w:spacing w:val="-6"/>
        </w:rPr>
        <w:t xml:space="preserve"> </w:t>
      </w:r>
      <w:r>
        <w:t>listed.</w:t>
      </w:r>
    </w:p>
    <w:p w14:paraId="3DEEC669" w14:textId="77777777" w:rsidR="0035058D" w:rsidRDefault="0035058D" w:rsidP="00403DEE">
      <w:pPr>
        <w:pStyle w:val="BodyText"/>
        <w:spacing w:before="10"/>
        <w:rPr>
          <w:sz w:val="23"/>
        </w:rPr>
      </w:pPr>
    </w:p>
    <w:p w14:paraId="59F836FF" w14:textId="77777777" w:rsidR="0035058D" w:rsidRDefault="008B499F" w:rsidP="00403DEE">
      <w:pPr>
        <w:pStyle w:val="ListParagraph"/>
        <w:numPr>
          <w:ilvl w:val="0"/>
          <w:numId w:val="1"/>
        </w:numPr>
        <w:tabs>
          <w:tab w:val="left" w:pos="831"/>
        </w:tabs>
        <w:spacing w:before="0" w:line="276" w:lineRule="auto"/>
        <w:ind w:left="830" w:right="112" w:hanging="355"/>
      </w:pPr>
      <w:r>
        <w:t xml:space="preserve">Applicants </w:t>
      </w:r>
      <w:r>
        <w:rPr>
          <w:b/>
        </w:rPr>
        <w:t xml:space="preserve">must </w:t>
      </w:r>
      <w:r>
        <w:t>have a bank account held in their own name. Payment to an Examiner will only be made into a bank account held in their name. Under no circumstances will payments be made to a third-party</w:t>
      </w:r>
      <w:r>
        <w:rPr>
          <w:spacing w:val="-3"/>
        </w:rPr>
        <w:t xml:space="preserve"> </w:t>
      </w:r>
      <w:r>
        <w:t>account,</w:t>
      </w:r>
      <w:r>
        <w:rPr>
          <w:spacing w:val="-3"/>
        </w:rPr>
        <w:t xml:space="preserve"> </w:t>
      </w:r>
      <w:r>
        <w:t>that</w:t>
      </w:r>
      <w:r>
        <w:rPr>
          <w:spacing w:val="-3"/>
        </w:rPr>
        <w:t xml:space="preserve"> </w:t>
      </w:r>
      <w:r>
        <w:t>is,</w:t>
      </w:r>
      <w:r>
        <w:rPr>
          <w:spacing w:val="-6"/>
        </w:rPr>
        <w:t xml:space="preserve"> </w:t>
      </w:r>
      <w:r>
        <w:t>an</w:t>
      </w:r>
      <w:r>
        <w:rPr>
          <w:spacing w:val="-5"/>
        </w:rPr>
        <w:t xml:space="preserve"> </w:t>
      </w:r>
      <w:r>
        <w:t>account</w:t>
      </w:r>
      <w:r>
        <w:rPr>
          <w:spacing w:val="-3"/>
        </w:rPr>
        <w:t xml:space="preserve"> </w:t>
      </w:r>
      <w:r>
        <w:t>held</w:t>
      </w:r>
      <w:r>
        <w:rPr>
          <w:spacing w:val="-4"/>
        </w:rPr>
        <w:t xml:space="preserve"> </w:t>
      </w:r>
      <w:r>
        <w:t>in</w:t>
      </w:r>
      <w:r>
        <w:rPr>
          <w:spacing w:val="-4"/>
        </w:rPr>
        <w:t xml:space="preserve"> </w:t>
      </w:r>
      <w:r>
        <w:t>the</w:t>
      </w:r>
      <w:r>
        <w:rPr>
          <w:spacing w:val="-4"/>
        </w:rPr>
        <w:t xml:space="preserve"> </w:t>
      </w:r>
      <w:r>
        <w:t>name</w:t>
      </w:r>
      <w:r>
        <w:rPr>
          <w:spacing w:val="-5"/>
        </w:rPr>
        <w:t xml:space="preserve"> </w:t>
      </w:r>
      <w:r>
        <w:t>of</w:t>
      </w:r>
      <w:r>
        <w:rPr>
          <w:spacing w:val="-4"/>
        </w:rPr>
        <w:t xml:space="preserve"> </w:t>
      </w:r>
      <w:r>
        <w:t>a</w:t>
      </w:r>
      <w:r>
        <w:rPr>
          <w:spacing w:val="-4"/>
        </w:rPr>
        <w:t xml:space="preserve"> </w:t>
      </w:r>
      <w:r>
        <w:t>relative,</w:t>
      </w:r>
      <w:r>
        <w:rPr>
          <w:spacing w:val="-4"/>
        </w:rPr>
        <w:t xml:space="preserve"> </w:t>
      </w:r>
      <w:r>
        <w:t>company/organization</w:t>
      </w:r>
      <w:r>
        <w:rPr>
          <w:spacing w:val="-6"/>
        </w:rPr>
        <w:t xml:space="preserve"> </w:t>
      </w:r>
      <w:r>
        <w:t>or</w:t>
      </w:r>
      <w:r>
        <w:rPr>
          <w:spacing w:val="-3"/>
        </w:rPr>
        <w:t xml:space="preserve"> </w:t>
      </w:r>
      <w:r>
        <w:t>other representative.</w:t>
      </w:r>
    </w:p>
    <w:p w14:paraId="3656B9AB" w14:textId="77777777" w:rsidR="0035058D" w:rsidRDefault="0035058D" w:rsidP="00403DEE">
      <w:pPr>
        <w:pStyle w:val="BodyText"/>
        <w:spacing w:before="4"/>
        <w:rPr>
          <w:sz w:val="16"/>
        </w:rPr>
      </w:pPr>
    </w:p>
    <w:p w14:paraId="43FF41D6" w14:textId="77777777" w:rsidR="0035058D" w:rsidRDefault="008B499F" w:rsidP="00403DEE">
      <w:pPr>
        <w:pStyle w:val="ListParagraph"/>
        <w:numPr>
          <w:ilvl w:val="0"/>
          <w:numId w:val="1"/>
        </w:numPr>
        <w:tabs>
          <w:tab w:val="left" w:pos="838"/>
        </w:tabs>
        <w:spacing w:before="0" w:line="276" w:lineRule="auto"/>
        <w:ind w:left="837" w:right="110" w:hanging="360"/>
      </w:pPr>
      <w:r>
        <w:t>Applicants with bank accounts in the following countries/areas must receive payment in the local currency; (i) banks in Canada in Canadian Dollars (CAD), (ii) banks in European "Eurozone" countries in Euros (EUR), (iii) banks in Singapore in Singapore Dollars (SGD), (iv) banks in the USA in US Dollars (USD), (v) banks in Australia in Australian dollars (AUD), (vi) banks in the United Kingdom in British Pounds (GBP), (vii) banks in Switzerland in Swiss Francs (CHF), (viii) banks in India in Indian Rupees (INR).</w:t>
      </w:r>
    </w:p>
    <w:p w14:paraId="45FB0818" w14:textId="77777777" w:rsidR="0035058D" w:rsidRDefault="0035058D" w:rsidP="00403DEE">
      <w:pPr>
        <w:pStyle w:val="BodyText"/>
        <w:spacing w:before="4"/>
        <w:rPr>
          <w:sz w:val="16"/>
        </w:rPr>
      </w:pPr>
    </w:p>
    <w:p w14:paraId="0C47EC7D" w14:textId="72C1B2DD" w:rsidR="00932B02" w:rsidRPr="00932B02" w:rsidRDefault="008B499F" w:rsidP="00403DEE">
      <w:pPr>
        <w:pStyle w:val="Heading1"/>
        <w:numPr>
          <w:ilvl w:val="0"/>
          <w:numId w:val="2"/>
        </w:numPr>
        <w:tabs>
          <w:tab w:val="left" w:pos="476"/>
        </w:tabs>
        <w:spacing w:before="45"/>
        <w:ind w:left="475" w:hanging="358"/>
        <w:rPr>
          <w:sz w:val="22"/>
          <w:szCs w:val="22"/>
        </w:rPr>
      </w:pPr>
      <w:r w:rsidRPr="00932B02">
        <w:rPr>
          <w:b/>
          <w:sz w:val="22"/>
          <w:szCs w:val="22"/>
        </w:rPr>
        <w:t>Applicants must declare all potential conflicts of interest.</w:t>
      </w:r>
      <w:r w:rsidRPr="00932B02">
        <w:rPr>
          <w:sz w:val="22"/>
          <w:szCs w:val="22"/>
        </w:rPr>
        <w:t xml:space="preserve"> Please see the</w:t>
      </w:r>
      <w:r w:rsidRPr="00932B02">
        <w:rPr>
          <w:color w:val="0562C1"/>
          <w:sz w:val="22"/>
          <w:szCs w:val="22"/>
        </w:rPr>
        <w:t xml:space="preserve"> </w:t>
      </w:r>
      <w:hyperlink r:id="rId15" w:anchor=":~:text=A%20conflict%20of%20interest%20occurs,actual%20benefit%2C%20financial%20or%20otherwise." w:history="1">
        <w:r w:rsidR="00932B02" w:rsidRPr="00932B02">
          <w:rPr>
            <w:rStyle w:val="Hyperlink"/>
            <w:sz w:val="22"/>
            <w:szCs w:val="22"/>
          </w:rPr>
          <w:t>Assessment IB Educators Conflicts of Interest Policy</w:t>
        </w:r>
      </w:hyperlink>
    </w:p>
    <w:p w14:paraId="0BF7C3C5" w14:textId="77777777" w:rsidR="00932B02" w:rsidRPr="00932B02" w:rsidRDefault="00932B02" w:rsidP="00403DEE">
      <w:pPr>
        <w:pStyle w:val="Heading1"/>
        <w:tabs>
          <w:tab w:val="left" w:pos="476"/>
        </w:tabs>
        <w:spacing w:before="45"/>
        <w:ind w:firstLine="0"/>
      </w:pPr>
    </w:p>
    <w:p w14:paraId="426D5268" w14:textId="3E484124" w:rsidR="0035058D" w:rsidRPr="00932B02" w:rsidRDefault="008B499F" w:rsidP="00403DEE">
      <w:pPr>
        <w:pStyle w:val="Heading1"/>
        <w:numPr>
          <w:ilvl w:val="0"/>
          <w:numId w:val="2"/>
        </w:numPr>
        <w:tabs>
          <w:tab w:val="left" w:pos="476"/>
        </w:tabs>
        <w:spacing w:before="45"/>
        <w:ind w:left="475" w:hanging="358"/>
        <w:rPr>
          <w:sz w:val="22"/>
          <w:szCs w:val="22"/>
        </w:rPr>
      </w:pPr>
      <w:r w:rsidRPr="00932B02">
        <w:rPr>
          <w:sz w:val="22"/>
          <w:szCs w:val="22"/>
        </w:rPr>
        <w:t>Desirable qualifications and</w:t>
      </w:r>
      <w:r w:rsidRPr="00932B02">
        <w:rPr>
          <w:spacing w:val="-7"/>
          <w:sz w:val="22"/>
          <w:szCs w:val="22"/>
        </w:rPr>
        <w:t xml:space="preserve"> </w:t>
      </w:r>
      <w:r w:rsidRPr="00932B02">
        <w:rPr>
          <w:sz w:val="22"/>
          <w:szCs w:val="22"/>
        </w:rPr>
        <w:t>experience</w:t>
      </w:r>
    </w:p>
    <w:p w14:paraId="5C57001E" w14:textId="77777777" w:rsidR="0035058D" w:rsidRDefault="008B499F" w:rsidP="00403DEE">
      <w:pPr>
        <w:pStyle w:val="BodyText"/>
        <w:spacing w:before="188" w:line="259" w:lineRule="auto"/>
        <w:ind w:left="465"/>
      </w:pPr>
      <w:r>
        <w:t>The</w:t>
      </w:r>
      <w:r>
        <w:rPr>
          <w:spacing w:val="-12"/>
        </w:rPr>
        <w:t xml:space="preserve"> </w:t>
      </w:r>
      <w:r>
        <w:t>list</w:t>
      </w:r>
      <w:r>
        <w:rPr>
          <w:spacing w:val="-13"/>
        </w:rPr>
        <w:t xml:space="preserve"> </w:t>
      </w:r>
      <w:r>
        <w:t>below</w:t>
      </w:r>
      <w:r>
        <w:rPr>
          <w:spacing w:val="-11"/>
        </w:rPr>
        <w:t xml:space="preserve"> </w:t>
      </w:r>
      <w:r>
        <w:t>provides</w:t>
      </w:r>
      <w:r>
        <w:rPr>
          <w:spacing w:val="-11"/>
        </w:rPr>
        <w:t xml:space="preserve"> </w:t>
      </w:r>
      <w:r>
        <w:t>information</w:t>
      </w:r>
      <w:r>
        <w:rPr>
          <w:spacing w:val="-15"/>
        </w:rPr>
        <w:t xml:space="preserve"> </w:t>
      </w:r>
      <w:r>
        <w:t>on</w:t>
      </w:r>
      <w:r>
        <w:rPr>
          <w:spacing w:val="-12"/>
        </w:rPr>
        <w:t xml:space="preserve"> </w:t>
      </w:r>
      <w:r>
        <w:t>the</w:t>
      </w:r>
      <w:r>
        <w:rPr>
          <w:spacing w:val="-13"/>
        </w:rPr>
        <w:t xml:space="preserve"> </w:t>
      </w:r>
      <w:r>
        <w:t>qualifications</w:t>
      </w:r>
      <w:r>
        <w:rPr>
          <w:spacing w:val="-11"/>
        </w:rPr>
        <w:t xml:space="preserve"> </w:t>
      </w:r>
      <w:r>
        <w:t>and</w:t>
      </w:r>
      <w:r>
        <w:rPr>
          <w:spacing w:val="-12"/>
        </w:rPr>
        <w:t xml:space="preserve"> </w:t>
      </w:r>
      <w:r>
        <w:t>experience</w:t>
      </w:r>
      <w:r>
        <w:rPr>
          <w:spacing w:val="-13"/>
        </w:rPr>
        <w:t xml:space="preserve"> </w:t>
      </w:r>
      <w:r>
        <w:t>that</w:t>
      </w:r>
      <w:r>
        <w:rPr>
          <w:spacing w:val="-14"/>
        </w:rPr>
        <w:t xml:space="preserve"> </w:t>
      </w:r>
      <w:r>
        <w:t>are</w:t>
      </w:r>
      <w:r>
        <w:rPr>
          <w:spacing w:val="-16"/>
        </w:rPr>
        <w:t xml:space="preserve"> </w:t>
      </w:r>
      <w:r>
        <w:t>desirable</w:t>
      </w:r>
      <w:r>
        <w:rPr>
          <w:spacing w:val="-11"/>
        </w:rPr>
        <w:t xml:space="preserve"> </w:t>
      </w:r>
      <w:r>
        <w:t>for</w:t>
      </w:r>
      <w:r>
        <w:rPr>
          <w:spacing w:val="-11"/>
        </w:rPr>
        <w:t xml:space="preserve"> </w:t>
      </w:r>
      <w:r>
        <w:t>an</w:t>
      </w:r>
      <w:r>
        <w:rPr>
          <w:spacing w:val="-14"/>
        </w:rPr>
        <w:t xml:space="preserve"> </w:t>
      </w:r>
      <w:r>
        <w:t>applicant to possess when applying to become an Examiner for the</w:t>
      </w:r>
      <w:r>
        <w:rPr>
          <w:spacing w:val="-11"/>
        </w:rPr>
        <w:t xml:space="preserve"> </w:t>
      </w:r>
      <w:r>
        <w:t>IB.</w:t>
      </w:r>
    </w:p>
    <w:p w14:paraId="3BBF4933" w14:textId="77777777" w:rsidR="0035058D" w:rsidRDefault="008B499F" w:rsidP="00403DEE">
      <w:pPr>
        <w:pStyle w:val="ListParagraph"/>
        <w:numPr>
          <w:ilvl w:val="1"/>
          <w:numId w:val="2"/>
        </w:numPr>
        <w:tabs>
          <w:tab w:val="left" w:pos="830"/>
          <w:tab w:val="left" w:pos="831"/>
        </w:tabs>
        <w:spacing w:before="118"/>
        <w:ind w:left="830" w:hanging="355"/>
      </w:pPr>
      <w:r>
        <w:t>Experience of teaching the MYP or</w:t>
      </w:r>
      <w:r>
        <w:rPr>
          <w:spacing w:val="-7"/>
        </w:rPr>
        <w:t xml:space="preserve"> </w:t>
      </w:r>
      <w:r>
        <w:t>DP/CP.</w:t>
      </w:r>
    </w:p>
    <w:p w14:paraId="177AD3DE" w14:textId="77777777" w:rsidR="0035058D" w:rsidRDefault="008B499F" w:rsidP="00403DEE">
      <w:pPr>
        <w:pStyle w:val="ListParagraph"/>
        <w:numPr>
          <w:ilvl w:val="1"/>
          <w:numId w:val="2"/>
        </w:numPr>
        <w:tabs>
          <w:tab w:val="left" w:pos="830"/>
          <w:tab w:val="left" w:pos="831"/>
        </w:tabs>
        <w:spacing w:before="162"/>
        <w:ind w:left="830" w:hanging="355"/>
      </w:pPr>
      <w:r>
        <w:t>Experience</w:t>
      </w:r>
      <w:r>
        <w:rPr>
          <w:spacing w:val="-12"/>
        </w:rPr>
        <w:t xml:space="preserve"> </w:t>
      </w:r>
      <w:r>
        <w:t>of</w:t>
      </w:r>
      <w:r>
        <w:rPr>
          <w:spacing w:val="-9"/>
        </w:rPr>
        <w:t xml:space="preserve"> </w:t>
      </w:r>
      <w:r>
        <w:t>teaching</w:t>
      </w:r>
      <w:r>
        <w:rPr>
          <w:spacing w:val="-10"/>
        </w:rPr>
        <w:t xml:space="preserve"> </w:t>
      </w:r>
      <w:r>
        <w:t>students</w:t>
      </w:r>
      <w:r>
        <w:rPr>
          <w:spacing w:val="-10"/>
        </w:rPr>
        <w:t xml:space="preserve"> </w:t>
      </w:r>
      <w:r>
        <w:t>at</w:t>
      </w:r>
      <w:r>
        <w:rPr>
          <w:spacing w:val="-11"/>
        </w:rPr>
        <w:t xml:space="preserve"> </w:t>
      </w:r>
      <w:r>
        <w:t>university</w:t>
      </w:r>
      <w:r>
        <w:rPr>
          <w:spacing w:val="-11"/>
        </w:rPr>
        <w:t xml:space="preserve"> </w:t>
      </w:r>
      <w:r>
        <w:t>entry</w:t>
      </w:r>
      <w:r>
        <w:rPr>
          <w:spacing w:val="-9"/>
        </w:rPr>
        <w:t xml:space="preserve"> </w:t>
      </w:r>
      <w:r>
        <w:t>qualification</w:t>
      </w:r>
      <w:r>
        <w:rPr>
          <w:spacing w:val="-10"/>
        </w:rPr>
        <w:t xml:space="preserve"> </w:t>
      </w:r>
      <w:r>
        <w:t>level</w:t>
      </w:r>
      <w:r>
        <w:rPr>
          <w:spacing w:val="-9"/>
        </w:rPr>
        <w:t xml:space="preserve"> </w:t>
      </w:r>
      <w:r>
        <w:t>(for</w:t>
      </w:r>
      <w:r>
        <w:rPr>
          <w:spacing w:val="-12"/>
        </w:rPr>
        <w:t xml:space="preserve"> </w:t>
      </w:r>
      <w:r>
        <w:t>DP/CP</w:t>
      </w:r>
      <w:r>
        <w:rPr>
          <w:spacing w:val="-8"/>
        </w:rPr>
        <w:t xml:space="preserve"> </w:t>
      </w:r>
      <w:r>
        <w:t>Examiner</w:t>
      </w:r>
      <w:r>
        <w:rPr>
          <w:spacing w:val="-9"/>
        </w:rPr>
        <w:t xml:space="preserve"> </w:t>
      </w:r>
      <w:r>
        <w:t>applicants).</w:t>
      </w:r>
    </w:p>
    <w:p w14:paraId="4796E648" w14:textId="77777777" w:rsidR="0035058D" w:rsidRDefault="008B499F" w:rsidP="00403DEE">
      <w:pPr>
        <w:pStyle w:val="ListParagraph"/>
        <w:numPr>
          <w:ilvl w:val="1"/>
          <w:numId w:val="2"/>
        </w:numPr>
        <w:tabs>
          <w:tab w:val="left" w:pos="830"/>
          <w:tab w:val="left" w:pos="831"/>
        </w:tabs>
        <w:spacing w:before="159"/>
        <w:ind w:left="830" w:hanging="355"/>
      </w:pPr>
      <w:r>
        <w:t>Previous examining</w:t>
      </w:r>
      <w:r>
        <w:rPr>
          <w:spacing w:val="-4"/>
        </w:rPr>
        <w:t xml:space="preserve"> </w:t>
      </w:r>
      <w:r>
        <w:t>experience.</w:t>
      </w:r>
    </w:p>
    <w:p w14:paraId="2AD20E82" w14:textId="77777777" w:rsidR="0035058D" w:rsidRDefault="008B499F" w:rsidP="00403DEE">
      <w:pPr>
        <w:pStyle w:val="ListParagraph"/>
        <w:numPr>
          <w:ilvl w:val="1"/>
          <w:numId w:val="2"/>
        </w:numPr>
        <w:tabs>
          <w:tab w:val="left" w:pos="830"/>
          <w:tab w:val="left" w:pos="831"/>
        </w:tabs>
        <w:spacing w:before="161"/>
        <w:ind w:left="830" w:hanging="355"/>
      </w:pPr>
      <w:r>
        <w:t>The ability to read documents, write reports and mark candidates’ work in the following</w:t>
      </w:r>
      <w:r>
        <w:rPr>
          <w:spacing w:val="-29"/>
        </w:rPr>
        <w:t xml:space="preserve"> </w:t>
      </w:r>
      <w:r>
        <w:t>languages:</w:t>
      </w:r>
    </w:p>
    <w:p w14:paraId="53128261" w14:textId="77777777" w:rsidR="0035058D" w:rsidRDefault="0035058D" w:rsidP="00403DEE">
      <w:pPr>
        <w:pStyle w:val="BodyText"/>
        <w:spacing w:before="7"/>
        <w:rPr>
          <w:sz w:val="16"/>
        </w:rPr>
      </w:pPr>
    </w:p>
    <w:tbl>
      <w:tblPr>
        <w:tblW w:w="0" w:type="auto"/>
        <w:tblInd w:w="1465" w:type="dxa"/>
        <w:tblLayout w:type="fixed"/>
        <w:tblCellMar>
          <w:left w:w="0" w:type="dxa"/>
          <w:right w:w="0" w:type="dxa"/>
        </w:tblCellMar>
        <w:tblLook w:val="01E0" w:firstRow="1" w:lastRow="1" w:firstColumn="1" w:lastColumn="1" w:noHBand="0" w:noVBand="0"/>
      </w:tblPr>
      <w:tblGrid>
        <w:gridCol w:w="1593"/>
        <w:gridCol w:w="1755"/>
      </w:tblGrid>
      <w:tr w:rsidR="0035058D" w14:paraId="5C6F5281" w14:textId="77777777" w:rsidTr="3C2ADD84">
        <w:trPr>
          <w:trHeight w:val="244"/>
        </w:trPr>
        <w:tc>
          <w:tcPr>
            <w:tcW w:w="1593" w:type="dxa"/>
          </w:tcPr>
          <w:p w14:paraId="2935410F" w14:textId="77777777" w:rsidR="0035058D" w:rsidRDefault="008B499F" w:rsidP="00403DEE">
            <w:pPr>
              <w:pStyle w:val="TableParagraph"/>
              <w:spacing w:line="225" w:lineRule="exact"/>
              <w:rPr>
                <w:b/>
              </w:rPr>
            </w:pPr>
            <w:r>
              <w:rPr>
                <w:b/>
              </w:rPr>
              <w:t>DP/CP</w:t>
            </w:r>
          </w:p>
        </w:tc>
        <w:tc>
          <w:tcPr>
            <w:tcW w:w="1755" w:type="dxa"/>
          </w:tcPr>
          <w:p w14:paraId="4BA9BDFE" w14:textId="77777777" w:rsidR="0035058D" w:rsidRDefault="008B499F" w:rsidP="00403DEE">
            <w:pPr>
              <w:pStyle w:val="TableParagraph"/>
              <w:spacing w:line="225" w:lineRule="exact"/>
              <w:ind w:left="575"/>
              <w:rPr>
                <w:b/>
              </w:rPr>
            </w:pPr>
            <w:r>
              <w:rPr>
                <w:b/>
              </w:rPr>
              <w:t>MYP</w:t>
            </w:r>
          </w:p>
        </w:tc>
      </w:tr>
      <w:tr w:rsidR="0035058D" w14:paraId="258255EF" w14:textId="77777777" w:rsidTr="3C2ADD84">
        <w:trPr>
          <w:trHeight w:val="4005"/>
        </w:trPr>
        <w:tc>
          <w:tcPr>
            <w:tcW w:w="1593" w:type="dxa"/>
          </w:tcPr>
          <w:p w14:paraId="0A6CB2C4" w14:textId="77777777" w:rsidR="0035058D" w:rsidRDefault="008B499F" w:rsidP="00403DEE">
            <w:pPr>
              <w:pStyle w:val="TableParagraph"/>
              <w:spacing w:line="249" w:lineRule="exact"/>
            </w:pPr>
            <w:r>
              <w:t>English</w:t>
            </w:r>
          </w:p>
          <w:p w14:paraId="73F15DDC" w14:textId="2470D392" w:rsidR="00307797" w:rsidRDefault="008B499F" w:rsidP="00403DEE">
            <w:pPr>
              <w:pStyle w:val="TableParagraph"/>
              <w:ind w:right="555"/>
            </w:pPr>
            <w:r>
              <w:t xml:space="preserve">Spanish French German Chinese </w:t>
            </w:r>
            <w:proofErr w:type="spellStart"/>
            <w:r>
              <w:t>Japanese</w:t>
            </w:r>
            <w:r w:rsidR="00307797">
              <w:t>Korean</w:t>
            </w:r>
            <w:proofErr w:type="spellEnd"/>
          </w:p>
        </w:tc>
        <w:tc>
          <w:tcPr>
            <w:tcW w:w="1755" w:type="dxa"/>
          </w:tcPr>
          <w:p w14:paraId="49A56AFD" w14:textId="77777777" w:rsidR="0035058D" w:rsidRDefault="008B499F" w:rsidP="00403DEE">
            <w:pPr>
              <w:pStyle w:val="TableParagraph"/>
              <w:spacing w:line="249" w:lineRule="exact"/>
              <w:ind w:left="575"/>
            </w:pPr>
            <w:r>
              <w:t>English</w:t>
            </w:r>
          </w:p>
          <w:p w14:paraId="6CD8A0F7" w14:textId="77777777" w:rsidR="0035058D" w:rsidRDefault="008B499F" w:rsidP="00403DEE">
            <w:pPr>
              <w:pStyle w:val="TableParagraph"/>
              <w:ind w:left="574" w:right="351"/>
            </w:pPr>
            <w:r>
              <w:t xml:space="preserve">Spanish French Arabic Catalan Chinese Danish Dutch Finnish German Greek </w:t>
            </w:r>
            <w:r>
              <w:rPr>
                <w:spacing w:val="-1"/>
              </w:rPr>
              <w:t xml:space="preserve">Japanese </w:t>
            </w:r>
            <w:r>
              <w:t>Kazakh Korean</w:t>
            </w:r>
          </w:p>
          <w:p w14:paraId="2E863C86" w14:textId="77777777" w:rsidR="0035058D" w:rsidRDefault="008B499F" w:rsidP="00403DEE">
            <w:pPr>
              <w:pStyle w:val="TableParagraph"/>
              <w:spacing w:before="1" w:line="245" w:lineRule="exact"/>
              <w:ind w:left="575"/>
            </w:pPr>
            <w:r>
              <w:t>Norwegian</w:t>
            </w:r>
          </w:p>
        </w:tc>
      </w:tr>
    </w:tbl>
    <w:p w14:paraId="62486C05" w14:textId="77777777" w:rsidR="0035058D" w:rsidRDefault="0035058D" w:rsidP="00403DEE">
      <w:pPr>
        <w:spacing w:line="245" w:lineRule="exact"/>
        <w:sectPr w:rsidR="0035058D">
          <w:headerReference w:type="default" r:id="rId16"/>
          <w:pgSz w:w="11910" w:h="16840"/>
          <w:pgMar w:top="700" w:right="960" w:bottom="1100" w:left="960" w:header="0" w:footer="918" w:gutter="0"/>
          <w:cols w:space="720"/>
        </w:sectPr>
      </w:pPr>
    </w:p>
    <w:p w14:paraId="70FA3B6A" w14:textId="77777777" w:rsidR="0035058D" w:rsidRDefault="008B499F" w:rsidP="00403DEE">
      <w:pPr>
        <w:pStyle w:val="Heading1"/>
        <w:numPr>
          <w:ilvl w:val="0"/>
          <w:numId w:val="2"/>
        </w:numPr>
        <w:tabs>
          <w:tab w:val="left" w:pos="476"/>
        </w:tabs>
        <w:ind w:left="475" w:hanging="358"/>
      </w:pPr>
      <w:r>
        <w:t>Appointment</w:t>
      </w:r>
      <w:r>
        <w:rPr>
          <w:spacing w:val="-3"/>
        </w:rPr>
        <w:t xml:space="preserve"> </w:t>
      </w:r>
      <w:r>
        <w:t>principles</w:t>
      </w:r>
    </w:p>
    <w:p w14:paraId="5A3A5A6A" w14:textId="77777777" w:rsidR="0035058D" w:rsidRDefault="008B499F" w:rsidP="00403DEE">
      <w:pPr>
        <w:pStyle w:val="BodyText"/>
        <w:spacing w:before="185"/>
        <w:ind w:left="477" w:right="291"/>
      </w:pPr>
      <w:r>
        <w:t>If an applicant meets the requirements listed above, the applicant will be considered to examine either the DP/CP or the MYP. However, the IB reserves the right to make a holistic judgement about each application.</w:t>
      </w:r>
    </w:p>
    <w:p w14:paraId="4101652C" w14:textId="77777777" w:rsidR="0035058D" w:rsidRDefault="0035058D" w:rsidP="00403DEE">
      <w:pPr>
        <w:pStyle w:val="BodyText"/>
        <w:spacing w:before="10"/>
        <w:rPr>
          <w:sz w:val="23"/>
        </w:rPr>
      </w:pPr>
    </w:p>
    <w:p w14:paraId="06951B5A" w14:textId="77777777" w:rsidR="0035058D" w:rsidRDefault="008B499F" w:rsidP="00403DEE">
      <w:pPr>
        <w:pStyle w:val="BodyText"/>
        <w:spacing w:line="259" w:lineRule="auto"/>
        <w:ind w:left="477" w:right="112"/>
      </w:pPr>
      <w:r>
        <w:t>Due to the nature of the assessment model for certain subject components, Examiners marking in a language</w:t>
      </w:r>
      <w:r>
        <w:rPr>
          <w:spacing w:val="-4"/>
        </w:rPr>
        <w:t xml:space="preserve"> </w:t>
      </w:r>
      <w:r>
        <w:t>other</w:t>
      </w:r>
      <w:r>
        <w:rPr>
          <w:spacing w:val="-3"/>
        </w:rPr>
        <w:t xml:space="preserve"> </w:t>
      </w:r>
      <w:r>
        <w:t>than</w:t>
      </w:r>
      <w:r>
        <w:rPr>
          <w:spacing w:val="-6"/>
        </w:rPr>
        <w:t xml:space="preserve"> </w:t>
      </w:r>
      <w:r>
        <w:t>English</w:t>
      </w:r>
      <w:r>
        <w:rPr>
          <w:spacing w:val="-4"/>
        </w:rPr>
        <w:t xml:space="preserve"> </w:t>
      </w:r>
      <w:r>
        <w:t>may</w:t>
      </w:r>
      <w:r>
        <w:rPr>
          <w:spacing w:val="-3"/>
        </w:rPr>
        <w:t xml:space="preserve"> </w:t>
      </w:r>
      <w:r>
        <w:t>also</w:t>
      </w:r>
      <w:r>
        <w:rPr>
          <w:spacing w:val="-2"/>
        </w:rPr>
        <w:t xml:space="preserve"> </w:t>
      </w:r>
      <w:r>
        <w:t>be</w:t>
      </w:r>
      <w:r>
        <w:rPr>
          <w:spacing w:val="-4"/>
        </w:rPr>
        <w:t xml:space="preserve"> </w:t>
      </w:r>
      <w:r>
        <w:t>required</w:t>
      </w:r>
      <w:r>
        <w:rPr>
          <w:spacing w:val="-4"/>
        </w:rPr>
        <w:t xml:space="preserve"> </w:t>
      </w:r>
      <w:r>
        <w:t>to</w:t>
      </w:r>
      <w:r>
        <w:rPr>
          <w:spacing w:val="-4"/>
        </w:rPr>
        <w:t xml:space="preserve"> </w:t>
      </w:r>
      <w:r>
        <w:t>mark</w:t>
      </w:r>
      <w:r>
        <w:rPr>
          <w:spacing w:val="-3"/>
        </w:rPr>
        <w:t xml:space="preserve"> </w:t>
      </w:r>
      <w:r>
        <w:t>responses</w:t>
      </w:r>
      <w:r>
        <w:rPr>
          <w:spacing w:val="-3"/>
        </w:rPr>
        <w:t xml:space="preserve"> </w:t>
      </w:r>
      <w:r>
        <w:t>in</w:t>
      </w:r>
      <w:r>
        <w:rPr>
          <w:spacing w:val="-4"/>
        </w:rPr>
        <w:t xml:space="preserve"> </w:t>
      </w:r>
      <w:r>
        <w:t>English.</w:t>
      </w:r>
      <w:r>
        <w:rPr>
          <w:spacing w:val="-5"/>
        </w:rPr>
        <w:t xml:space="preserve"> </w:t>
      </w:r>
      <w:r>
        <w:t>For</w:t>
      </w:r>
      <w:r>
        <w:rPr>
          <w:spacing w:val="-3"/>
        </w:rPr>
        <w:t xml:space="preserve"> </w:t>
      </w:r>
      <w:r>
        <w:t>this</w:t>
      </w:r>
      <w:r>
        <w:rPr>
          <w:spacing w:val="-3"/>
        </w:rPr>
        <w:t xml:space="preserve"> </w:t>
      </w:r>
      <w:r>
        <w:t>reason,</w:t>
      </w:r>
      <w:r>
        <w:rPr>
          <w:spacing w:val="-6"/>
        </w:rPr>
        <w:t xml:space="preserve"> </w:t>
      </w:r>
      <w:r>
        <w:t>we</w:t>
      </w:r>
      <w:r>
        <w:rPr>
          <w:spacing w:val="-5"/>
        </w:rPr>
        <w:t xml:space="preserve"> </w:t>
      </w:r>
      <w:r>
        <w:t>would require applicants for those subjects to be bilingual and this may be taken into consideration as part of the application process or after</w:t>
      </w:r>
      <w:r>
        <w:rPr>
          <w:spacing w:val="-8"/>
        </w:rPr>
        <w:t xml:space="preserve"> </w:t>
      </w:r>
      <w:r>
        <w:t>appointment.</w:t>
      </w:r>
    </w:p>
    <w:p w14:paraId="4B99056E" w14:textId="77777777" w:rsidR="0035058D" w:rsidRDefault="0035058D" w:rsidP="00403DEE">
      <w:pPr>
        <w:pStyle w:val="BodyText"/>
        <w:spacing w:before="9"/>
        <w:rPr>
          <w:sz w:val="23"/>
        </w:rPr>
      </w:pPr>
    </w:p>
    <w:p w14:paraId="1C97421D" w14:textId="77777777" w:rsidR="0035058D" w:rsidRDefault="008B499F" w:rsidP="00403DEE">
      <w:pPr>
        <w:pStyle w:val="BodyText"/>
        <w:spacing w:line="259" w:lineRule="auto"/>
        <w:ind w:left="477" w:right="110"/>
      </w:pPr>
      <w:r>
        <w:t>If examining the DP/</w:t>
      </w:r>
      <w:proofErr w:type="gramStart"/>
      <w:r>
        <w:t>CP</w:t>
      </w:r>
      <w:proofErr w:type="gramEnd"/>
      <w:r>
        <w:t xml:space="preserve"> the applicant will be appointed to one subject and two components where the period of assessment for two components is not concurrent or where the nature of the assessment of a subject requires an </w:t>
      </w:r>
      <w:r w:rsidR="00D3598B">
        <w:t>E</w:t>
      </w:r>
      <w:r>
        <w:t>xaminer to assess more than one component.</w:t>
      </w:r>
    </w:p>
    <w:p w14:paraId="1299C43A" w14:textId="77777777" w:rsidR="0035058D" w:rsidRDefault="0035058D" w:rsidP="00403DEE">
      <w:pPr>
        <w:pStyle w:val="BodyText"/>
        <w:spacing w:before="9"/>
        <w:rPr>
          <w:sz w:val="23"/>
        </w:rPr>
      </w:pPr>
    </w:p>
    <w:p w14:paraId="6D664846" w14:textId="77777777" w:rsidR="0035058D" w:rsidRDefault="008B499F" w:rsidP="00403DEE">
      <w:pPr>
        <w:pStyle w:val="BodyText"/>
        <w:spacing w:line="259" w:lineRule="auto"/>
        <w:ind w:left="477" w:right="110"/>
      </w:pPr>
      <w:r>
        <w:t xml:space="preserve">If examining the MYP, the applicant will be appointed to one early component and one late component. Early refers to either the e-Portfolio specialist subject </w:t>
      </w:r>
      <w:r w:rsidRPr="00FF745F">
        <w:rPr>
          <w:b/>
        </w:rPr>
        <w:t>or</w:t>
      </w:r>
      <w:r>
        <w:t xml:space="preserve"> Personal Project. Late refers to either the Specialist subject online exam </w:t>
      </w:r>
      <w:r w:rsidRPr="00FF745F">
        <w:rPr>
          <w:b/>
        </w:rPr>
        <w:t>or</w:t>
      </w:r>
      <w:r>
        <w:t xml:space="preserve"> Interdisciplinary. In order to be considered for the Personal Project the applicant </w:t>
      </w:r>
      <w:r>
        <w:rPr>
          <w:b/>
        </w:rPr>
        <w:t xml:space="preserve">must </w:t>
      </w:r>
      <w:r>
        <w:t>be teaching in an IB MYP school.</w:t>
      </w:r>
    </w:p>
    <w:p w14:paraId="4DDBEF00" w14:textId="77777777" w:rsidR="0035058D" w:rsidRDefault="0035058D" w:rsidP="00403DEE">
      <w:pPr>
        <w:pStyle w:val="BodyText"/>
        <w:spacing w:before="6"/>
        <w:rPr>
          <w:sz w:val="23"/>
        </w:rPr>
      </w:pPr>
    </w:p>
    <w:p w14:paraId="76AFBED5" w14:textId="1A36AC10" w:rsidR="0035058D" w:rsidRDefault="008B499F" w:rsidP="00403DEE">
      <w:pPr>
        <w:ind w:left="477"/>
      </w:pPr>
      <w:r>
        <w:t>The scope of work offered to successful applicant(s) is dependent on connections with IB world schools</w:t>
      </w:r>
      <w:r w:rsidR="54CDF341">
        <w:t xml:space="preserve"> and </w:t>
      </w:r>
      <w:r w:rsidR="00403DEE">
        <w:t xml:space="preserve">  </w:t>
      </w:r>
      <w:r w:rsidR="54CDF341">
        <w:t>the IB's current requirements for examiners.</w:t>
      </w:r>
    </w:p>
    <w:p w14:paraId="3461D779" w14:textId="77777777" w:rsidR="0035058D" w:rsidRDefault="0035058D" w:rsidP="00403DEE">
      <w:pPr>
        <w:pStyle w:val="BodyText"/>
        <w:spacing w:before="7"/>
        <w:rPr>
          <w:sz w:val="25"/>
        </w:rPr>
      </w:pPr>
    </w:p>
    <w:p w14:paraId="6879DA9C" w14:textId="77777777" w:rsidR="0035058D" w:rsidRDefault="008B499F" w:rsidP="00403DEE">
      <w:pPr>
        <w:pStyle w:val="BodyText"/>
        <w:spacing w:line="259" w:lineRule="auto"/>
        <w:ind w:left="477" w:right="113"/>
      </w:pPr>
      <w:r>
        <w:t xml:space="preserve">In subjects with a small number of candidates registered for assessment, </w:t>
      </w:r>
      <w:r w:rsidR="00D3598B">
        <w:t>E</w:t>
      </w:r>
      <w:r>
        <w:t xml:space="preserve">xaminers are required to be independent of all IB schools registering candidates for the subject. It therefore may not be possible to appoint </w:t>
      </w:r>
      <w:r w:rsidR="00D3598B">
        <w:t>E</w:t>
      </w:r>
      <w:r>
        <w:t>xaminers for this subject if they have a conflict of interest.</w:t>
      </w:r>
    </w:p>
    <w:p w14:paraId="566F9E29" w14:textId="77777777" w:rsidR="0076549C" w:rsidRPr="008A467B" w:rsidRDefault="0076549C" w:rsidP="00403DEE">
      <w:pPr>
        <w:pStyle w:val="NormalWeb"/>
        <w:ind w:left="477"/>
        <w:rPr>
          <w:rFonts w:ascii="Calibri" w:hAnsi="Calibri" w:cs="Calibri"/>
          <w:sz w:val="22"/>
          <w:szCs w:val="22"/>
        </w:rPr>
      </w:pPr>
      <w:r>
        <w:rPr>
          <w:rFonts w:ascii="Calibri" w:hAnsi="Calibri" w:cs="Calibri"/>
          <w:sz w:val="22"/>
          <w:szCs w:val="22"/>
        </w:rPr>
        <w:t>In order to ensure consistency of marking standards Examiners may be required to mark responses in the language in which the quality model for a component was established (usually English). Therefore, applicants for these subjects must be bilingual as indicated in the position advertised on the IB website (</w:t>
      </w:r>
      <w:hyperlink r:id="rId17" w:history="1">
        <w:r w:rsidRPr="00D544D6">
          <w:rPr>
            <w:rStyle w:val="Hyperlink"/>
            <w:rFonts w:ascii="Calibri" w:hAnsi="Calibri" w:cs="Calibri"/>
            <w:sz w:val="22"/>
            <w:szCs w:val="22"/>
          </w:rPr>
          <w:t>www.ibo.org/examiners</w:t>
        </w:r>
      </w:hyperlink>
      <w:r>
        <w:rPr>
          <w:rFonts w:ascii="Calibri" w:hAnsi="Calibri" w:cs="Calibri"/>
          <w:sz w:val="22"/>
          <w:szCs w:val="22"/>
        </w:rPr>
        <w:t>). This requirement may be taken into consideration during the application process and after appointment.</w:t>
      </w:r>
    </w:p>
    <w:p w14:paraId="131377C5" w14:textId="6B79F41A" w:rsidR="0076549C" w:rsidRDefault="0076549C" w:rsidP="00403DEE">
      <w:pPr>
        <w:pStyle w:val="NormalWeb"/>
        <w:ind w:left="477"/>
        <w:rPr>
          <w:rFonts w:ascii="Calibri" w:hAnsi="Calibri" w:cs="Calibri"/>
          <w:sz w:val="22"/>
          <w:szCs w:val="22"/>
        </w:rPr>
      </w:pPr>
      <w:r>
        <w:rPr>
          <w:rFonts w:ascii="Calibri" w:hAnsi="Calibri" w:cs="Calibri"/>
          <w:sz w:val="22"/>
          <w:szCs w:val="22"/>
        </w:rPr>
        <w:t xml:space="preserve">Applicants for most subjects wishing to assess candidates in a language which is not their native/ first language, must be able to demonstrate an </w:t>
      </w:r>
      <w:r w:rsidRPr="00711865">
        <w:rPr>
          <w:rFonts w:ascii="Calibri" w:hAnsi="Calibri" w:cs="Calibri"/>
          <w:b/>
          <w:bCs/>
          <w:sz w:val="22"/>
          <w:szCs w:val="22"/>
        </w:rPr>
        <w:t>advanced level</w:t>
      </w:r>
      <w:r>
        <w:rPr>
          <w:rFonts w:ascii="Calibri" w:hAnsi="Calibri" w:cs="Calibri"/>
          <w:sz w:val="22"/>
          <w:szCs w:val="22"/>
        </w:rPr>
        <w:t xml:space="preserve"> of proficiency in the response language (</w:t>
      </w:r>
      <w:hyperlink r:id="rId18" w:history="1">
        <w:r w:rsidRPr="0076549C">
          <w:rPr>
            <w:rStyle w:val="Hyperlink"/>
            <w:rFonts w:ascii="Calibri" w:hAnsi="Calibri" w:cs="Calibri"/>
            <w:i/>
            <w:iCs/>
            <w:sz w:val="22"/>
            <w:szCs w:val="22"/>
          </w:rPr>
          <w:t>C1 level of the Common European Framework of Reference for Languages</w:t>
        </w:r>
      </w:hyperlink>
      <w:r>
        <w:rPr>
          <w:rFonts w:ascii="Calibri" w:hAnsi="Calibri" w:cs="Calibri"/>
          <w:sz w:val="22"/>
          <w:szCs w:val="22"/>
        </w:rPr>
        <w:t>) to be able to assess candidate work and write reports.</w:t>
      </w:r>
    </w:p>
    <w:p w14:paraId="6CE6711E" w14:textId="0C1707E0" w:rsidR="0076549C" w:rsidRDefault="0076549C" w:rsidP="00403DEE">
      <w:pPr>
        <w:pStyle w:val="NormalWeb"/>
        <w:ind w:left="477"/>
        <w:rPr>
          <w:rFonts w:ascii="Calibri" w:hAnsi="Calibri" w:cs="Calibri"/>
          <w:sz w:val="22"/>
          <w:szCs w:val="22"/>
        </w:rPr>
      </w:pPr>
      <w:r>
        <w:rPr>
          <w:rFonts w:ascii="Calibri" w:hAnsi="Calibri" w:cs="Calibri"/>
          <w:sz w:val="22"/>
          <w:szCs w:val="22"/>
        </w:rPr>
        <w:t xml:space="preserve">Applicants for Sciences and Mathematics who are confident users of the response language may be accepted at </w:t>
      </w:r>
      <w:r w:rsidRPr="008C7DAC">
        <w:rPr>
          <w:rFonts w:ascii="Calibri" w:hAnsi="Calibri" w:cs="Calibri"/>
          <w:b/>
          <w:bCs/>
          <w:sz w:val="22"/>
          <w:szCs w:val="22"/>
        </w:rPr>
        <w:t>upper-intermediate level</w:t>
      </w:r>
      <w:r>
        <w:rPr>
          <w:rFonts w:ascii="Calibri" w:hAnsi="Calibri" w:cs="Calibri"/>
          <w:sz w:val="22"/>
          <w:szCs w:val="22"/>
        </w:rPr>
        <w:t xml:space="preserve"> (</w:t>
      </w:r>
      <w:hyperlink r:id="rId19" w:history="1">
        <w:r w:rsidRPr="0076549C">
          <w:rPr>
            <w:rStyle w:val="Hyperlink"/>
            <w:rFonts w:ascii="Calibri" w:hAnsi="Calibri" w:cs="Calibri"/>
            <w:i/>
            <w:iCs/>
            <w:sz w:val="22"/>
            <w:szCs w:val="22"/>
          </w:rPr>
          <w:t>B2 level of the Common European Framework of Reference for Languages</w:t>
        </w:r>
      </w:hyperlink>
      <w:r>
        <w:rPr>
          <w:rFonts w:ascii="Calibri" w:hAnsi="Calibri" w:cs="Calibri"/>
          <w:i/>
          <w:iCs/>
          <w:sz w:val="22"/>
          <w:szCs w:val="22"/>
        </w:rPr>
        <w:t>)</w:t>
      </w:r>
      <w:r>
        <w:rPr>
          <w:rFonts w:ascii="Calibri" w:hAnsi="Calibri" w:cs="Calibri"/>
          <w:sz w:val="22"/>
          <w:szCs w:val="22"/>
        </w:rPr>
        <w:t>.</w:t>
      </w:r>
    </w:p>
    <w:p w14:paraId="5F8E80B6" w14:textId="77777777" w:rsidR="0076549C" w:rsidRDefault="0076549C" w:rsidP="00403DEE">
      <w:pPr>
        <w:pStyle w:val="NormalWeb"/>
        <w:ind w:left="477"/>
        <w:rPr>
          <w:rFonts w:ascii="Calibri" w:hAnsi="Calibri" w:cs="Calibri"/>
          <w:sz w:val="22"/>
          <w:szCs w:val="22"/>
        </w:rPr>
      </w:pPr>
      <w:r>
        <w:rPr>
          <w:rFonts w:ascii="Calibri" w:hAnsi="Calibri" w:cs="Calibri"/>
          <w:sz w:val="22"/>
          <w:szCs w:val="22"/>
        </w:rPr>
        <w:t>Examiners should only indicate that they can assess candidates in a language if they meet these minimum requirements.</w:t>
      </w:r>
    </w:p>
    <w:p w14:paraId="29C9BFC8" w14:textId="7CE25F0D" w:rsidR="0076549C" w:rsidRDefault="0076549C" w:rsidP="00403DEE">
      <w:pPr>
        <w:pStyle w:val="NormalWeb"/>
        <w:ind w:left="477"/>
        <w:rPr>
          <w:rFonts w:ascii="Segoe UI" w:hAnsi="Segoe UI" w:cs="Segoe UI"/>
          <w:sz w:val="21"/>
          <w:szCs w:val="21"/>
        </w:rPr>
      </w:pPr>
      <w:r w:rsidRPr="009607DD">
        <w:rPr>
          <w:rFonts w:asciiTheme="minorHAnsi" w:hAnsiTheme="minorHAnsi" w:cstheme="minorHAnsi"/>
          <w:sz w:val="22"/>
          <w:szCs w:val="22"/>
        </w:rPr>
        <w:t xml:space="preserve">Examiners will only be appointed </w:t>
      </w:r>
      <w:r>
        <w:rPr>
          <w:rFonts w:asciiTheme="minorHAnsi" w:hAnsiTheme="minorHAnsi" w:cstheme="minorHAnsi"/>
          <w:sz w:val="22"/>
          <w:szCs w:val="22"/>
        </w:rPr>
        <w:t>for</w:t>
      </w:r>
      <w:r w:rsidRPr="009607DD">
        <w:rPr>
          <w:rFonts w:asciiTheme="minorHAnsi" w:hAnsiTheme="minorHAnsi" w:cstheme="minorHAnsi"/>
          <w:sz w:val="22"/>
          <w:szCs w:val="22"/>
        </w:rPr>
        <w:t xml:space="preserve"> languages in which they have</w:t>
      </w:r>
      <w:r>
        <w:rPr>
          <w:rFonts w:asciiTheme="minorHAnsi" w:hAnsiTheme="minorHAnsi" w:cstheme="minorHAnsi"/>
          <w:sz w:val="22"/>
          <w:szCs w:val="22"/>
        </w:rPr>
        <w:t xml:space="preserve"> declared</w:t>
      </w:r>
      <w:r w:rsidRPr="009607DD">
        <w:rPr>
          <w:rFonts w:asciiTheme="minorHAnsi" w:hAnsiTheme="minorHAnsi" w:cstheme="minorHAnsi"/>
          <w:sz w:val="22"/>
          <w:szCs w:val="22"/>
        </w:rPr>
        <w:t xml:space="preserve"> </w:t>
      </w:r>
      <w:r>
        <w:rPr>
          <w:rFonts w:asciiTheme="minorHAnsi" w:hAnsiTheme="minorHAnsi" w:cstheme="minorHAnsi"/>
          <w:sz w:val="22"/>
          <w:szCs w:val="22"/>
        </w:rPr>
        <w:t>the relevant</w:t>
      </w:r>
      <w:r w:rsidRPr="009607DD">
        <w:rPr>
          <w:rFonts w:asciiTheme="minorHAnsi" w:hAnsiTheme="minorHAnsi" w:cstheme="minorHAnsi"/>
          <w:sz w:val="22"/>
          <w:szCs w:val="22"/>
        </w:rPr>
        <w:t xml:space="preserve"> level of language proficiency</w:t>
      </w:r>
      <w:r>
        <w:rPr>
          <w:rFonts w:asciiTheme="minorHAnsi" w:hAnsiTheme="minorHAnsi" w:cstheme="minorHAnsi"/>
          <w:sz w:val="22"/>
          <w:szCs w:val="22"/>
        </w:rPr>
        <w:t>.</w:t>
      </w:r>
      <w:r w:rsidR="00403DEE">
        <w:rPr>
          <w:rFonts w:asciiTheme="minorHAnsi" w:hAnsiTheme="minorHAnsi" w:cstheme="minorHAnsi"/>
          <w:sz w:val="22"/>
          <w:szCs w:val="22"/>
        </w:rPr>
        <w:t xml:space="preserve"> </w:t>
      </w:r>
      <w:r>
        <w:rPr>
          <w:rFonts w:ascii="Calibri" w:hAnsi="Calibri" w:cs="Calibri"/>
          <w:sz w:val="22"/>
          <w:szCs w:val="22"/>
        </w:rPr>
        <w:t>Appointment as an Examiner is based upon declared language capabilities and may be withdrawn if the Examiner is unable or unwilling to assess in all indicated languages.</w:t>
      </w:r>
    </w:p>
    <w:p w14:paraId="6180C991" w14:textId="77777777" w:rsidR="0035058D" w:rsidRDefault="008B499F" w:rsidP="00403DEE">
      <w:pPr>
        <w:pStyle w:val="BodyText"/>
        <w:ind w:left="477"/>
      </w:pPr>
      <w:r>
        <w:t xml:space="preserve">The IB must comply with the laws and regulations of all countries in which it appoints </w:t>
      </w:r>
      <w:r w:rsidR="00D3598B">
        <w:t>E</w:t>
      </w:r>
      <w:r>
        <w:t>xaminers.</w:t>
      </w:r>
    </w:p>
    <w:p w14:paraId="1FC39945" w14:textId="77777777" w:rsidR="0035058D" w:rsidRDefault="0035058D" w:rsidP="00403DEE">
      <w:pPr>
        <w:sectPr w:rsidR="0035058D">
          <w:headerReference w:type="default" r:id="rId20"/>
          <w:pgSz w:w="11910" w:h="16840"/>
          <w:pgMar w:top="1620" w:right="960" w:bottom="1100" w:left="960" w:header="709" w:footer="918" w:gutter="0"/>
          <w:cols w:space="720"/>
        </w:sectPr>
      </w:pPr>
    </w:p>
    <w:p w14:paraId="65C3CA8D" w14:textId="77777777" w:rsidR="00776E89" w:rsidRDefault="00776E89" w:rsidP="00403DEE">
      <w:pPr>
        <w:rPr>
          <w:sz w:val="28"/>
          <w:szCs w:val="28"/>
        </w:rPr>
      </w:pPr>
      <w:r>
        <w:rPr>
          <w:sz w:val="28"/>
          <w:szCs w:val="28"/>
        </w:rPr>
        <w:t>Appendix A</w:t>
      </w:r>
    </w:p>
    <w:p w14:paraId="0562CB0E" w14:textId="77777777" w:rsidR="00776E89" w:rsidRDefault="00776E89" w:rsidP="00403DEE">
      <w:pPr>
        <w:rPr>
          <w:sz w:val="24"/>
          <w:szCs w:val="24"/>
        </w:rPr>
      </w:pPr>
    </w:p>
    <w:p w14:paraId="283B390C" w14:textId="77777777" w:rsidR="00776E89" w:rsidRDefault="00776E89" w:rsidP="00403DEE">
      <w:pPr>
        <w:rPr>
          <w:sz w:val="24"/>
          <w:szCs w:val="24"/>
        </w:rPr>
      </w:pPr>
      <w:r w:rsidRPr="005E518B">
        <w:rPr>
          <w:sz w:val="24"/>
          <w:szCs w:val="24"/>
        </w:rPr>
        <w:t>The following subjects can be assessed monolingually in English and the languages shown in the table below</w:t>
      </w:r>
      <w:r>
        <w:rPr>
          <w:sz w:val="24"/>
          <w:szCs w:val="24"/>
        </w:rPr>
        <w:t>:</w:t>
      </w:r>
    </w:p>
    <w:p w14:paraId="34CE0A41" w14:textId="77777777" w:rsidR="00776E89" w:rsidRPr="00776E89" w:rsidRDefault="00776E89" w:rsidP="00403DEE">
      <w:pPr>
        <w:rPr>
          <w:sz w:val="28"/>
          <w:szCs w:val="28"/>
        </w:rPr>
      </w:pPr>
    </w:p>
    <w:tbl>
      <w:tblPr>
        <w:tblStyle w:val="TableGrid"/>
        <w:tblW w:w="0" w:type="auto"/>
        <w:tblLook w:val="04A0" w:firstRow="1" w:lastRow="0" w:firstColumn="1" w:lastColumn="0" w:noHBand="0" w:noVBand="1"/>
      </w:tblPr>
      <w:tblGrid>
        <w:gridCol w:w="4349"/>
        <w:gridCol w:w="4349"/>
      </w:tblGrid>
      <w:tr w:rsidR="00776E89" w14:paraId="465C80FB" w14:textId="77777777" w:rsidTr="42C74C48">
        <w:trPr>
          <w:trHeight w:val="375"/>
        </w:trPr>
        <w:tc>
          <w:tcPr>
            <w:tcW w:w="4349" w:type="dxa"/>
          </w:tcPr>
          <w:p w14:paraId="27B6226E" w14:textId="77777777" w:rsidR="00776E89" w:rsidRPr="00FF745F" w:rsidRDefault="00776E89" w:rsidP="00403DEE">
            <w:pPr>
              <w:rPr>
                <w:b/>
                <w:sz w:val="24"/>
                <w:szCs w:val="24"/>
              </w:rPr>
            </w:pPr>
            <w:r w:rsidRPr="00FF745F">
              <w:rPr>
                <w:b/>
                <w:sz w:val="24"/>
                <w:szCs w:val="24"/>
              </w:rPr>
              <w:t>Subject</w:t>
            </w:r>
          </w:p>
        </w:tc>
        <w:tc>
          <w:tcPr>
            <w:tcW w:w="4349" w:type="dxa"/>
          </w:tcPr>
          <w:p w14:paraId="76F1BADF" w14:textId="77777777" w:rsidR="00776E89" w:rsidRPr="00FF745F" w:rsidRDefault="00776E89" w:rsidP="00403DEE">
            <w:pPr>
              <w:rPr>
                <w:b/>
                <w:sz w:val="24"/>
                <w:szCs w:val="24"/>
              </w:rPr>
            </w:pPr>
            <w:r w:rsidRPr="00FF745F">
              <w:rPr>
                <w:b/>
                <w:sz w:val="24"/>
                <w:szCs w:val="24"/>
              </w:rPr>
              <w:t>Languages</w:t>
            </w:r>
          </w:p>
        </w:tc>
      </w:tr>
      <w:tr w:rsidR="00776E89" w14:paraId="65F07E90" w14:textId="77777777" w:rsidTr="42C74C48">
        <w:trPr>
          <w:trHeight w:val="375"/>
        </w:trPr>
        <w:tc>
          <w:tcPr>
            <w:tcW w:w="4349" w:type="dxa"/>
          </w:tcPr>
          <w:p w14:paraId="1A358A37" w14:textId="77777777" w:rsidR="00776E89" w:rsidRDefault="00776E89" w:rsidP="00403DEE">
            <w:pPr>
              <w:rPr>
                <w:sz w:val="24"/>
                <w:szCs w:val="24"/>
              </w:rPr>
            </w:pPr>
            <w:r>
              <w:rPr>
                <w:sz w:val="24"/>
                <w:szCs w:val="24"/>
              </w:rPr>
              <w:t>Brazilian Social Studies</w:t>
            </w:r>
          </w:p>
        </w:tc>
        <w:tc>
          <w:tcPr>
            <w:tcW w:w="4349" w:type="dxa"/>
          </w:tcPr>
          <w:p w14:paraId="6D4B2C7D" w14:textId="77777777" w:rsidR="00776E89" w:rsidRDefault="00776E89" w:rsidP="00403DEE">
            <w:pPr>
              <w:rPr>
                <w:sz w:val="24"/>
                <w:szCs w:val="24"/>
              </w:rPr>
            </w:pPr>
            <w:r>
              <w:rPr>
                <w:sz w:val="24"/>
                <w:szCs w:val="24"/>
              </w:rPr>
              <w:t>Portuguese</w:t>
            </w:r>
          </w:p>
        </w:tc>
      </w:tr>
      <w:tr w:rsidR="00776E89" w14:paraId="76A58571" w14:textId="77777777" w:rsidTr="42C74C48">
        <w:trPr>
          <w:trHeight w:val="375"/>
        </w:trPr>
        <w:tc>
          <w:tcPr>
            <w:tcW w:w="4349" w:type="dxa"/>
          </w:tcPr>
          <w:p w14:paraId="0AEE7C99" w14:textId="3A7053E6" w:rsidR="00776E89" w:rsidRDefault="00776E89" w:rsidP="00403DEE">
            <w:pPr>
              <w:rPr>
                <w:sz w:val="24"/>
                <w:szCs w:val="24"/>
              </w:rPr>
            </w:pPr>
            <w:r>
              <w:rPr>
                <w:sz w:val="24"/>
                <w:szCs w:val="24"/>
              </w:rPr>
              <w:t>Business Management</w:t>
            </w:r>
          </w:p>
        </w:tc>
        <w:tc>
          <w:tcPr>
            <w:tcW w:w="4349" w:type="dxa"/>
          </w:tcPr>
          <w:p w14:paraId="3665B28C" w14:textId="77777777" w:rsidR="00776E89" w:rsidRDefault="00776E89" w:rsidP="00403DEE">
            <w:pPr>
              <w:rPr>
                <w:sz w:val="24"/>
                <w:szCs w:val="24"/>
              </w:rPr>
            </w:pPr>
            <w:r>
              <w:rPr>
                <w:sz w:val="24"/>
                <w:szCs w:val="24"/>
              </w:rPr>
              <w:t>Spanish</w:t>
            </w:r>
          </w:p>
        </w:tc>
      </w:tr>
      <w:tr w:rsidR="00776E89" w14:paraId="460D92F6" w14:textId="77777777" w:rsidTr="42C74C48">
        <w:trPr>
          <w:trHeight w:val="394"/>
        </w:trPr>
        <w:tc>
          <w:tcPr>
            <w:tcW w:w="4349" w:type="dxa"/>
          </w:tcPr>
          <w:p w14:paraId="6FFD8311" w14:textId="77777777" w:rsidR="00776E89" w:rsidRDefault="00776E89" w:rsidP="00403DEE">
            <w:pPr>
              <w:rPr>
                <w:sz w:val="24"/>
                <w:szCs w:val="24"/>
              </w:rPr>
            </w:pPr>
            <w:r>
              <w:rPr>
                <w:sz w:val="24"/>
                <w:szCs w:val="24"/>
              </w:rPr>
              <w:t>History</w:t>
            </w:r>
          </w:p>
        </w:tc>
        <w:tc>
          <w:tcPr>
            <w:tcW w:w="4349" w:type="dxa"/>
          </w:tcPr>
          <w:p w14:paraId="2E5777B9" w14:textId="77777777" w:rsidR="00776E89" w:rsidRDefault="00776E89" w:rsidP="00403DEE">
            <w:pPr>
              <w:rPr>
                <w:sz w:val="24"/>
                <w:szCs w:val="24"/>
              </w:rPr>
            </w:pPr>
            <w:r>
              <w:rPr>
                <w:sz w:val="24"/>
                <w:szCs w:val="24"/>
              </w:rPr>
              <w:t>Spanish</w:t>
            </w:r>
          </w:p>
        </w:tc>
      </w:tr>
      <w:tr w:rsidR="00776E89" w14:paraId="2D8E3EB8" w14:textId="77777777" w:rsidTr="42C74C48">
        <w:trPr>
          <w:trHeight w:val="375"/>
        </w:trPr>
        <w:tc>
          <w:tcPr>
            <w:tcW w:w="4349" w:type="dxa"/>
          </w:tcPr>
          <w:p w14:paraId="70326BB2" w14:textId="77777777" w:rsidR="00776E89" w:rsidRDefault="00776E89" w:rsidP="00403DEE">
            <w:pPr>
              <w:rPr>
                <w:sz w:val="24"/>
                <w:szCs w:val="24"/>
              </w:rPr>
            </w:pPr>
            <w:r>
              <w:rPr>
                <w:sz w:val="24"/>
                <w:szCs w:val="24"/>
              </w:rPr>
              <w:t>Modern History of Kazakhstan</w:t>
            </w:r>
          </w:p>
        </w:tc>
        <w:tc>
          <w:tcPr>
            <w:tcW w:w="4349" w:type="dxa"/>
          </w:tcPr>
          <w:p w14:paraId="4A69CB08" w14:textId="77777777" w:rsidR="00776E89" w:rsidRDefault="00776E89" w:rsidP="00403DEE">
            <w:pPr>
              <w:rPr>
                <w:sz w:val="24"/>
                <w:szCs w:val="24"/>
              </w:rPr>
            </w:pPr>
            <w:r>
              <w:rPr>
                <w:sz w:val="24"/>
                <w:szCs w:val="24"/>
              </w:rPr>
              <w:t>Kazakh</w:t>
            </w:r>
          </w:p>
        </w:tc>
      </w:tr>
      <w:tr w:rsidR="00776E89" w14:paraId="1BA91ADD" w14:textId="77777777" w:rsidTr="42C74C48">
        <w:trPr>
          <w:trHeight w:val="375"/>
        </w:trPr>
        <w:tc>
          <w:tcPr>
            <w:tcW w:w="4349" w:type="dxa"/>
          </w:tcPr>
          <w:p w14:paraId="21A30AF1" w14:textId="77777777" w:rsidR="00776E89" w:rsidRDefault="00776E89" w:rsidP="00403DEE">
            <w:pPr>
              <w:rPr>
                <w:sz w:val="24"/>
                <w:szCs w:val="24"/>
              </w:rPr>
            </w:pPr>
            <w:r>
              <w:rPr>
                <w:sz w:val="24"/>
                <w:szCs w:val="24"/>
              </w:rPr>
              <w:t>Philosophy</w:t>
            </w:r>
          </w:p>
        </w:tc>
        <w:tc>
          <w:tcPr>
            <w:tcW w:w="4349" w:type="dxa"/>
          </w:tcPr>
          <w:p w14:paraId="76698CF1" w14:textId="77777777" w:rsidR="00776E89" w:rsidRDefault="00776E89" w:rsidP="00403DEE">
            <w:pPr>
              <w:rPr>
                <w:sz w:val="24"/>
                <w:szCs w:val="24"/>
              </w:rPr>
            </w:pPr>
            <w:r>
              <w:rPr>
                <w:sz w:val="24"/>
                <w:szCs w:val="24"/>
              </w:rPr>
              <w:t>Spanish</w:t>
            </w:r>
          </w:p>
        </w:tc>
      </w:tr>
      <w:tr w:rsidR="00776E89" w14:paraId="28D9528F" w14:textId="77777777" w:rsidTr="42C74C48">
        <w:trPr>
          <w:trHeight w:val="375"/>
        </w:trPr>
        <w:tc>
          <w:tcPr>
            <w:tcW w:w="4349" w:type="dxa"/>
          </w:tcPr>
          <w:p w14:paraId="5C6889FA" w14:textId="77777777" w:rsidR="00776E89" w:rsidRDefault="00776E89" w:rsidP="00403DEE">
            <w:pPr>
              <w:rPr>
                <w:sz w:val="24"/>
                <w:szCs w:val="24"/>
              </w:rPr>
            </w:pPr>
            <w:r>
              <w:rPr>
                <w:sz w:val="24"/>
                <w:szCs w:val="24"/>
              </w:rPr>
              <w:t>Political Thought</w:t>
            </w:r>
          </w:p>
        </w:tc>
        <w:tc>
          <w:tcPr>
            <w:tcW w:w="4349" w:type="dxa"/>
          </w:tcPr>
          <w:p w14:paraId="386367C3" w14:textId="77777777" w:rsidR="00776E89" w:rsidRDefault="00776E89" w:rsidP="00403DEE">
            <w:pPr>
              <w:rPr>
                <w:sz w:val="24"/>
                <w:szCs w:val="24"/>
              </w:rPr>
            </w:pPr>
            <w:r>
              <w:rPr>
                <w:sz w:val="24"/>
                <w:szCs w:val="24"/>
              </w:rPr>
              <w:t>Spanish</w:t>
            </w:r>
          </w:p>
        </w:tc>
      </w:tr>
      <w:tr w:rsidR="00776E89" w14:paraId="0F430935" w14:textId="77777777" w:rsidTr="42C74C48">
        <w:trPr>
          <w:trHeight w:val="375"/>
        </w:trPr>
        <w:tc>
          <w:tcPr>
            <w:tcW w:w="4349" w:type="dxa"/>
          </w:tcPr>
          <w:p w14:paraId="236744E0" w14:textId="77777777" w:rsidR="00776E89" w:rsidRDefault="00776E89" w:rsidP="00403DEE">
            <w:pPr>
              <w:rPr>
                <w:sz w:val="24"/>
                <w:szCs w:val="24"/>
              </w:rPr>
            </w:pPr>
            <w:r>
              <w:rPr>
                <w:sz w:val="24"/>
                <w:szCs w:val="24"/>
              </w:rPr>
              <w:t>Turkey in the 20</w:t>
            </w:r>
            <w:r w:rsidRPr="00DC737D">
              <w:rPr>
                <w:sz w:val="24"/>
                <w:szCs w:val="24"/>
                <w:vertAlign w:val="superscript"/>
              </w:rPr>
              <w:t>th</w:t>
            </w:r>
            <w:r>
              <w:rPr>
                <w:sz w:val="24"/>
                <w:szCs w:val="24"/>
              </w:rPr>
              <w:t xml:space="preserve"> Century</w:t>
            </w:r>
          </w:p>
        </w:tc>
        <w:tc>
          <w:tcPr>
            <w:tcW w:w="4349" w:type="dxa"/>
          </w:tcPr>
          <w:p w14:paraId="212BCDC7" w14:textId="77777777" w:rsidR="00776E89" w:rsidRDefault="00776E89" w:rsidP="00403DEE">
            <w:pPr>
              <w:rPr>
                <w:sz w:val="24"/>
                <w:szCs w:val="24"/>
              </w:rPr>
            </w:pPr>
            <w:r>
              <w:rPr>
                <w:sz w:val="24"/>
                <w:szCs w:val="24"/>
              </w:rPr>
              <w:t>Turkish</w:t>
            </w:r>
          </w:p>
        </w:tc>
      </w:tr>
      <w:tr w:rsidR="00776E89" w14:paraId="24E32A08" w14:textId="77777777" w:rsidTr="42C74C48">
        <w:trPr>
          <w:trHeight w:val="375"/>
        </w:trPr>
        <w:tc>
          <w:tcPr>
            <w:tcW w:w="4349" w:type="dxa"/>
          </w:tcPr>
          <w:p w14:paraId="54941932" w14:textId="77777777" w:rsidR="00776E89" w:rsidRDefault="00776E89" w:rsidP="00403DEE">
            <w:pPr>
              <w:rPr>
                <w:sz w:val="24"/>
                <w:szCs w:val="24"/>
              </w:rPr>
            </w:pPr>
            <w:r>
              <w:rPr>
                <w:sz w:val="24"/>
                <w:szCs w:val="24"/>
              </w:rPr>
              <w:t xml:space="preserve">Biology </w:t>
            </w:r>
          </w:p>
        </w:tc>
        <w:tc>
          <w:tcPr>
            <w:tcW w:w="4349" w:type="dxa"/>
          </w:tcPr>
          <w:p w14:paraId="6446D6F8" w14:textId="77777777" w:rsidR="00776E89" w:rsidRDefault="00776E89" w:rsidP="00403DEE">
            <w:pPr>
              <w:rPr>
                <w:sz w:val="24"/>
                <w:szCs w:val="24"/>
              </w:rPr>
            </w:pPr>
            <w:r>
              <w:rPr>
                <w:sz w:val="24"/>
                <w:szCs w:val="24"/>
              </w:rPr>
              <w:t>Spanish</w:t>
            </w:r>
          </w:p>
        </w:tc>
      </w:tr>
      <w:tr w:rsidR="00776E89" w14:paraId="5FA42536" w14:textId="77777777" w:rsidTr="42C74C48">
        <w:trPr>
          <w:trHeight w:val="375"/>
        </w:trPr>
        <w:tc>
          <w:tcPr>
            <w:tcW w:w="4349" w:type="dxa"/>
          </w:tcPr>
          <w:p w14:paraId="6DEFB564" w14:textId="77777777" w:rsidR="00776E89" w:rsidRDefault="00776E89" w:rsidP="00403DEE">
            <w:pPr>
              <w:rPr>
                <w:sz w:val="24"/>
                <w:szCs w:val="24"/>
              </w:rPr>
            </w:pPr>
            <w:r>
              <w:rPr>
                <w:sz w:val="24"/>
                <w:szCs w:val="24"/>
              </w:rPr>
              <w:t xml:space="preserve">Chemistry </w:t>
            </w:r>
          </w:p>
        </w:tc>
        <w:tc>
          <w:tcPr>
            <w:tcW w:w="4349" w:type="dxa"/>
          </w:tcPr>
          <w:p w14:paraId="46AE9577" w14:textId="77777777" w:rsidR="00776E89" w:rsidRDefault="00776E89" w:rsidP="00403DEE">
            <w:pPr>
              <w:rPr>
                <w:sz w:val="24"/>
                <w:szCs w:val="24"/>
              </w:rPr>
            </w:pPr>
            <w:r>
              <w:rPr>
                <w:sz w:val="24"/>
                <w:szCs w:val="24"/>
              </w:rPr>
              <w:t>Spanish</w:t>
            </w:r>
          </w:p>
        </w:tc>
      </w:tr>
      <w:tr w:rsidR="00776E89" w14:paraId="5161C74B" w14:textId="77777777" w:rsidTr="42C74C48">
        <w:trPr>
          <w:trHeight w:val="375"/>
        </w:trPr>
        <w:tc>
          <w:tcPr>
            <w:tcW w:w="4349" w:type="dxa"/>
          </w:tcPr>
          <w:p w14:paraId="0386AF02" w14:textId="77777777" w:rsidR="00776E89" w:rsidRDefault="00776E89" w:rsidP="00403DEE">
            <w:pPr>
              <w:rPr>
                <w:sz w:val="24"/>
                <w:szCs w:val="24"/>
              </w:rPr>
            </w:pPr>
            <w:r>
              <w:rPr>
                <w:sz w:val="24"/>
                <w:szCs w:val="24"/>
              </w:rPr>
              <w:t xml:space="preserve">Physics </w:t>
            </w:r>
          </w:p>
        </w:tc>
        <w:tc>
          <w:tcPr>
            <w:tcW w:w="4349" w:type="dxa"/>
          </w:tcPr>
          <w:p w14:paraId="350C24BA" w14:textId="77777777" w:rsidR="00776E89" w:rsidRDefault="00776E89" w:rsidP="00403DEE">
            <w:pPr>
              <w:rPr>
                <w:sz w:val="24"/>
                <w:szCs w:val="24"/>
              </w:rPr>
            </w:pPr>
            <w:r>
              <w:rPr>
                <w:sz w:val="24"/>
                <w:szCs w:val="24"/>
              </w:rPr>
              <w:t>Spanish</w:t>
            </w:r>
          </w:p>
        </w:tc>
      </w:tr>
      <w:tr w:rsidR="00776E89" w14:paraId="3C33AAAF" w14:textId="77777777" w:rsidTr="42C74C48">
        <w:trPr>
          <w:trHeight w:val="375"/>
        </w:trPr>
        <w:tc>
          <w:tcPr>
            <w:tcW w:w="4349" w:type="dxa"/>
          </w:tcPr>
          <w:p w14:paraId="077EBD01" w14:textId="3D5709FF" w:rsidR="00776E89" w:rsidRDefault="3E66EB73" w:rsidP="00403DEE">
            <w:pPr>
              <w:rPr>
                <w:rFonts w:asciiTheme="minorHAnsi" w:eastAsiaTheme="minorEastAsia" w:hAnsiTheme="minorHAnsi" w:cstheme="minorBidi"/>
                <w:sz w:val="24"/>
                <w:szCs w:val="24"/>
              </w:rPr>
            </w:pPr>
            <w:r w:rsidRPr="42C74C48">
              <w:rPr>
                <w:rFonts w:asciiTheme="minorHAnsi" w:eastAsiaTheme="minorEastAsia" w:hAnsiTheme="minorHAnsi" w:cstheme="minorBidi"/>
                <w:sz w:val="24"/>
                <w:szCs w:val="24"/>
              </w:rPr>
              <w:t>Mathematics Applications and Interpretation</w:t>
            </w:r>
          </w:p>
        </w:tc>
        <w:tc>
          <w:tcPr>
            <w:tcW w:w="4349" w:type="dxa"/>
          </w:tcPr>
          <w:p w14:paraId="273E47F3" w14:textId="18148CC5" w:rsidR="00776E89" w:rsidRDefault="00776E89" w:rsidP="00403DEE">
            <w:pPr>
              <w:rPr>
                <w:sz w:val="24"/>
                <w:szCs w:val="24"/>
              </w:rPr>
            </w:pPr>
            <w:r w:rsidRPr="42C74C48">
              <w:rPr>
                <w:sz w:val="24"/>
                <w:szCs w:val="24"/>
              </w:rPr>
              <w:t>Spanish</w:t>
            </w:r>
          </w:p>
        </w:tc>
      </w:tr>
      <w:tr w:rsidR="00776E89" w14:paraId="7EBD8724" w14:textId="77777777" w:rsidTr="42C74C48">
        <w:trPr>
          <w:trHeight w:val="375"/>
        </w:trPr>
        <w:tc>
          <w:tcPr>
            <w:tcW w:w="4349" w:type="dxa"/>
          </w:tcPr>
          <w:p w14:paraId="761F1641" w14:textId="77777777" w:rsidR="00776E89" w:rsidRDefault="00776E89" w:rsidP="00403DEE">
            <w:pPr>
              <w:rPr>
                <w:sz w:val="24"/>
                <w:szCs w:val="24"/>
              </w:rPr>
            </w:pPr>
            <w:r>
              <w:rPr>
                <w:sz w:val="24"/>
                <w:szCs w:val="24"/>
              </w:rPr>
              <w:t xml:space="preserve">Mathematics </w:t>
            </w:r>
          </w:p>
        </w:tc>
        <w:tc>
          <w:tcPr>
            <w:tcW w:w="4349" w:type="dxa"/>
          </w:tcPr>
          <w:p w14:paraId="215DD898" w14:textId="77777777" w:rsidR="00776E89" w:rsidRDefault="00776E89" w:rsidP="00403DEE">
            <w:pPr>
              <w:rPr>
                <w:sz w:val="24"/>
                <w:szCs w:val="24"/>
              </w:rPr>
            </w:pPr>
            <w:r>
              <w:rPr>
                <w:sz w:val="24"/>
                <w:szCs w:val="24"/>
              </w:rPr>
              <w:t>Spanish</w:t>
            </w:r>
          </w:p>
        </w:tc>
      </w:tr>
      <w:tr w:rsidR="00776E89" w14:paraId="346A2AAB" w14:textId="77777777" w:rsidTr="42C74C48">
        <w:trPr>
          <w:trHeight w:val="375"/>
        </w:trPr>
        <w:tc>
          <w:tcPr>
            <w:tcW w:w="4349" w:type="dxa"/>
          </w:tcPr>
          <w:p w14:paraId="6A5ED086" w14:textId="77777777" w:rsidR="00776E89" w:rsidRDefault="00776E89" w:rsidP="00403DEE">
            <w:pPr>
              <w:rPr>
                <w:sz w:val="24"/>
                <w:szCs w:val="24"/>
              </w:rPr>
            </w:pPr>
            <w:r>
              <w:rPr>
                <w:sz w:val="24"/>
                <w:szCs w:val="24"/>
              </w:rPr>
              <w:t>Visual Arts</w:t>
            </w:r>
          </w:p>
        </w:tc>
        <w:tc>
          <w:tcPr>
            <w:tcW w:w="4349" w:type="dxa"/>
          </w:tcPr>
          <w:p w14:paraId="75A59B37" w14:textId="77777777" w:rsidR="00776E89" w:rsidRDefault="00776E89" w:rsidP="00403DEE">
            <w:pPr>
              <w:rPr>
                <w:sz w:val="24"/>
                <w:szCs w:val="24"/>
              </w:rPr>
            </w:pPr>
            <w:r>
              <w:rPr>
                <w:sz w:val="24"/>
                <w:szCs w:val="24"/>
              </w:rPr>
              <w:t>Spanish</w:t>
            </w:r>
          </w:p>
        </w:tc>
      </w:tr>
      <w:tr w:rsidR="00776E89" w14:paraId="7175B75B" w14:textId="77777777" w:rsidTr="42C74C48">
        <w:trPr>
          <w:trHeight w:val="375"/>
        </w:trPr>
        <w:tc>
          <w:tcPr>
            <w:tcW w:w="4349" w:type="dxa"/>
          </w:tcPr>
          <w:p w14:paraId="767700DA" w14:textId="77777777" w:rsidR="00776E89" w:rsidRDefault="00776E89" w:rsidP="00403DEE">
            <w:pPr>
              <w:rPr>
                <w:sz w:val="24"/>
                <w:szCs w:val="24"/>
              </w:rPr>
            </w:pPr>
            <w:r>
              <w:rPr>
                <w:sz w:val="24"/>
                <w:szCs w:val="24"/>
              </w:rPr>
              <w:t>Theory of Knowledge</w:t>
            </w:r>
          </w:p>
        </w:tc>
        <w:tc>
          <w:tcPr>
            <w:tcW w:w="4349" w:type="dxa"/>
          </w:tcPr>
          <w:p w14:paraId="6BC5FD2F" w14:textId="77777777" w:rsidR="00776E89" w:rsidRDefault="00776E89" w:rsidP="00403DEE">
            <w:pPr>
              <w:rPr>
                <w:sz w:val="24"/>
                <w:szCs w:val="24"/>
              </w:rPr>
            </w:pPr>
            <w:r>
              <w:rPr>
                <w:sz w:val="24"/>
                <w:szCs w:val="24"/>
              </w:rPr>
              <w:t>French, Spanish, Chinese</w:t>
            </w:r>
          </w:p>
        </w:tc>
      </w:tr>
    </w:tbl>
    <w:p w14:paraId="62EBF3C5" w14:textId="77777777" w:rsidR="00776E89" w:rsidRPr="00DC737D" w:rsidRDefault="00776E89" w:rsidP="00403DEE">
      <w:pPr>
        <w:rPr>
          <w:sz w:val="24"/>
          <w:szCs w:val="24"/>
        </w:rPr>
      </w:pPr>
    </w:p>
    <w:p w14:paraId="6D98A12B" w14:textId="77777777" w:rsidR="00776E89" w:rsidRDefault="00776E89" w:rsidP="00403DEE">
      <w:pPr>
        <w:ind w:left="117"/>
      </w:pPr>
    </w:p>
    <w:p w14:paraId="2946DB82" w14:textId="77777777" w:rsidR="00776E89" w:rsidRDefault="00776E89" w:rsidP="00403DEE">
      <w:pPr>
        <w:ind w:left="117"/>
      </w:pPr>
    </w:p>
    <w:sectPr w:rsidR="00776E89">
      <w:pgSz w:w="11910" w:h="16840"/>
      <w:pgMar w:top="1620" w:right="960" w:bottom="1100" w:left="960" w:header="709"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F0A5" w14:textId="77777777" w:rsidR="00D27D11" w:rsidRDefault="00D27D11">
      <w:r>
        <w:separator/>
      </w:r>
    </w:p>
  </w:endnote>
  <w:endnote w:type="continuationSeparator" w:id="0">
    <w:p w14:paraId="213B6C65" w14:textId="77777777" w:rsidR="00D27D11" w:rsidRDefault="00D2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C069" w14:textId="5B1391AD" w:rsidR="0035058D" w:rsidRDefault="0076549C">
    <w:pPr>
      <w:pStyle w:val="BodyText"/>
      <w:spacing w:line="14" w:lineRule="auto"/>
      <w:rPr>
        <w:sz w:val="20"/>
      </w:rPr>
    </w:pPr>
    <w:r>
      <w:rPr>
        <w:noProof/>
      </w:rPr>
      <mc:AlternateContent>
        <mc:Choice Requires="wps">
          <w:drawing>
            <wp:anchor distT="0" distB="0" distL="114300" distR="114300" simplePos="0" relativeHeight="503311280" behindDoc="1" locked="0" layoutInCell="1" allowOverlap="1" wp14:anchorId="61115300" wp14:editId="375A6616">
              <wp:simplePos x="0" y="0"/>
              <wp:positionH relativeFrom="page">
                <wp:posOffset>673100</wp:posOffset>
              </wp:positionH>
              <wp:positionV relativeFrom="page">
                <wp:posOffset>10115550</wp:posOffset>
              </wp:positionV>
              <wp:extent cx="2368550" cy="146050"/>
              <wp:effectExtent l="0" t="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06A6" w14:textId="24D42016" w:rsidR="0035058D" w:rsidRDefault="008B499F">
                          <w:pPr>
                            <w:spacing w:before="15"/>
                            <w:ind w:left="20"/>
                            <w:rPr>
                              <w:rFonts w:ascii="Arial" w:hAnsi="Arial"/>
                              <w:sz w:val="16"/>
                            </w:rPr>
                          </w:pPr>
                          <w:r>
                            <w:rPr>
                              <w:rFonts w:ascii="Arial" w:hAnsi="Arial"/>
                              <w:sz w:val="16"/>
                            </w:rPr>
                            <w:t>© International Baccalaureate Organization 20</w:t>
                          </w:r>
                          <w:r w:rsidR="00C76140">
                            <w:rPr>
                              <w:rFonts w:ascii="Arial" w:hAnsi="Arial"/>
                              <w:sz w:val="16"/>
                            </w:rPr>
                            <w:t>2</w:t>
                          </w:r>
                          <w:r w:rsidR="0076549C">
                            <w:rPr>
                              <w:rFonts w:ascii="Arial" w:hAnsi="Arial"/>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15300" id="_x0000_t202" coordsize="21600,21600" o:spt="202" path="m,l,21600r21600,l21600,xe">
              <v:stroke joinstyle="miter"/>
              <v:path gradientshapeok="t" o:connecttype="rect"/>
            </v:shapetype>
            <v:shape id="Text Box 1" o:spid="_x0000_s1026" type="#_x0000_t202" style="position:absolute;margin-left:53pt;margin-top:796.5pt;width:186.5pt;height:11.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" filled="f" stroked="f">
              <v:textbox inset="0,0,0,0">
                <w:txbxContent>
                  <w:p w14:paraId="795E06A6" w14:textId="24D42016" w:rsidR="0035058D" w:rsidRDefault="008B499F">
                    <w:pPr>
                      <w:spacing w:before="15"/>
                      <w:ind w:left="20"/>
                      <w:rPr>
                        <w:rFonts w:ascii="Arial" w:hAnsi="Arial"/>
                        <w:sz w:val="16"/>
                      </w:rPr>
                    </w:pPr>
                    <w:r>
                      <w:rPr>
                        <w:rFonts w:ascii="Arial" w:hAnsi="Arial"/>
                        <w:sz w:val="16"/>
                      </w:rPr>
                      <w:t>© International Baccalaureate Organization 20</w:t>
                    </w:r>
                    <w:r w:rsidR="00C76140">
                      <w:rPr>
                        <w:rFonts w:ascii="Arial" w:hAnsi="Arial"/>
                        <w:sz w:val="16"/>
                      </w:rPr>
                      <w:t>2</w:t>
                    </w:r>
                    <w:r w:rsidR="0076549C">
                      <w:rPr>
                        <w:rFonts w:ascii="Arial" w:hAnsi="Arial"/>
                        <w:sz w:val="16"/>
                      </w:rPr>
                      <w:t>1</w:t>
                    </w:r>
                  </w:p>
                </w:txbxContent>
              </v:textbox>
              <w10:wrap anchorx="page" anchory="page"/>
            </v:shape>
          </w:pict>
        </mc:Fallback>
      </mc:AlternateContent>
    </w:r>
    <w:r w:rsidR="00776E89">
      <w:rPr>
        <w:noProof/>
      </w:rPr>
      <mc:AlternateContent>
        <mc:Choice Requires="wps">
          <w:drawing>
            <wp:anchor distT="0" distB="0" distL="114300" distR="114300" simplePos="0" relativeHeight="503311256" behindDoc="1" locked="0" layoutInCell="1" allowOverlap="1" wp14:anchorId="27D0230C" wp14:editId="20D27779">
              <wp:simplePos x="0" y="0"/>
              <wp:positionH relativeFrom="page">
                <wp:posOffset>6780530</wp:posOffset>
              </wp:positionH>
              <wp:positionV relativeFrom="page">
                <wp:posOffset>9969500</wp:posOffset>
              </wp:positionV>
              <wp:extent cx="121920" cy="16573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35058D" w:rsidRDefault="008B499F">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230C" id="Text Box 2" o:spid="_x0000_s1027" type="#_x0000_t202" style="position:absolute;margin-left:533.9pt;margin-top:785pt;width:9.6pt;height:13.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" filled="f" stroked="f">
              <v:textbox inset="0,0,0,0">
                <w:txbxContent>
                  <w:p w14:paraId="4590CB77" w14:textId="77777777" w:rsidR="0035058D" w:rsidRDefault="008B499F">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600B" w14:textId="77777777" w:rsidR="00D27D11" w:rsidRDefault="00D27D11">
      <w:r>
        <w:separator/>
      </w:r>
    </w:p>
  </w:footnote>
  <w:footnote w:type="continuationSeparator" w:id="0">
    <w:p w14:paraId="7BAD76F7" w14:textId="77777777" w:rsidR="00D27D11" w:rsidRDefault="00D2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E12B" w14:textId="77777777" w:rsidR="0035058D" w:rsidRDefault="008B499F">
    <w:pPr>
      <w:pStyle w:val="BodyText"/>
      <w:spacing w:line="14" w:lineRule="auto"/>
      <w:rPr>
        <w:sz w:val="20"/>
      </w:rPr>
    </w:pPr>
    <w:r>
      <w:rPr>
        <w:noProof/>
      </w:rPr>
      <w:drawing>
        <wp:anchor distT="0" distB="0" distL="0" distR="0" simplePos="0" relativeHeight="268430207" behindDoc="1" locked="0" layoutInCell="1" allowOverlap="1" wp14:anchorId="10460C30" wp14:editId="07777777">
          <wp:simplePos x="0" y="0"/>
          <wp:positionH relativeFrom="page">
            <wp:posOffset>4923790</wp:posOffset>
          </wp:positionH>
          <wp:positionV relativeFrom="page">
            <wp:posOffset>450214</wp:posOffset>
          </wp:positionV>
          <wp:extent cx="1952623" cy="590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2623" cy="5905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35058D" w:rsidRDefault="0035058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4427" w14:textId="77777777" w:rsidR="0035058D" w:rsidRDefault="008B499F">
    <w:pPr>
      <w:pStyle w:val="BodyText"/>
      <w:spacing w:line="14" w:lineRule="auto"/>
      <w:rPr>
        <w:sz w:val="20"/>
      </w:rPr>
    </w:pPr>
    <w:r>
      <w:rPr>
        <w:noProof/>
      </w:rPr>
      <w:drawing>
        <wp:anchor distT="0" distB="0" distL="0" distR="0" simplePos="0" relativeHeight="268430279" behindDoc="1" locked="0" layoutInCell="1" allowOverlap="1" wp14:anchorId="49F22BC2" wp14:editId="07777777">
          <wp:simplePos x="0" y="0"/>
          <wp:positionH relativeFrom="page">
            <wp:posOffset>4923790</wp:posOffset>
          </wp:positionH>
          <wp:positionV relativeFrom="page">
            <wp:posOffset>450214</wp:posOffset>
          </wp:positionV>
          <wp:extent cx="1952623" cy="59054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2623" cy="5905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D143C"/>
    <w:multiLevelType w:val="hybridMultilevel"/>
    <w:tmpl w:val="1D4426DC"/>
    <w:lvl w:ilvl="0" w:tplc="15885B08">
      <w:start w:val="1"/>
      <w:numFmt w:val="decimal"/>
      <w:lvlText w:val="%1."/>
      <w:lvlJc w:val="left"/>
      <w:pPr>
        <w:ind w:left="477" w:hanging="360"/>
        <w:jc w:val="left"/>
      </w:pPr>
      <w:rPr>
        <w:rFonts w:ascii="Calibri" w:eastAsia="Calibri" w:hAnsi="Calibri" w:cs="Calibri" w:hint="default"/>
        <w:spacing w:val="-1"/>
        <w:w w:val="100"/>
        <w:sz w:val="22"/>
        <w:szCs w:val="22"/>
        <w:lang w:val="en-GB" w:eastAsia="en-GB" w:bidi="en-GB"/>
      </w:rPr>
    </w:lvl>
    <w:lvl w:ilvl="1" w:tplc="C1EE7A9A">
      <w:numFmt w:val="bullet"/>
      <w:lvlText w:val=""/>
      <w:lvlJc w:val="left"/>
      <w:pPr>
        <w:ind w:left="902" w:hanging="361"/>
      </w:pPr>
      <w:rPr>
        <w:rFonts w:ascii="Symbol" w:eastAsia="Symbol" w:hAnsi="Symbol" w:cs="Symbol" w:hint="default"/>
        <w:w w:val="100"/>
        <w:sz w:val="22"/>
        <w:szCs w:val="22"/>
        <w:lang w:val="en-GB" w:eastAsia="en-GB" w:bidi="en-GB"/>
      </w:rPr>
    </w:lvl>
    <w:lvl w:ilvl="2" w:tplc="0A78E2F0">
      <w:numFmt w:val="bullet"/>
      <w:lvlText w:val="o"/>
      <w:lvlJc w:val="left"/>
      <w:pPr>
        <w:ind w:left="2277" w:hanging="361"/>
      </w:pPr>
      <w:rPr>
        <w:rFonts w:ascii="Courier New" w:eastAsia="Courier New" w:hAnsi="Courier New" w:cs="Courier New" w:hint="default"/>
        <w:w w:val="100"/>
        <w:sz w:val="22"/>
        <w:szCs w:val="22"/>
        <w:lang w:val="en-GB" w:eastAsia="en-GB" w:bidi="en-GB"/>
      </w:rPr>
    </w:lvl>
    <w:lvl w:ilvl="3" w:tplc="D188F498">
      <w:numFmt w:val="bullet"/>
      <w:lvlText w:val="•"/>
      <w:lvlJc w:val="left"/>
      <w:pPr>
        <w:ind w:left="2280" w:hanging="361"/>
      </w:pPr>
      <w:rPr>
        <w:rFonts w:hint="default"/>
        <w:lang w:val="en-GB" w:eastAsia="en-GB" w:bidi="en-GB"/>
      </w:rPr>
    </w:lvl>
    <w:lvl w:ilvl="4" w:tplc="F60CEE88">
      <w:numFmt w:val="bullet"/>
      <w:lvlText w:val="•"/>
      <w:lvlJc w:val="left"/>
      <w:pPr>
        <w:ind w:left="3380" w:hanging="361"/>
      </w:pPr>
      <w:rPr>
        <w:rFonts w:hint="default"/>
        <w:lang w:val="en-GB" w:eastAsia="en-GB" w:bidi="en-GB"/>
      </w:rPr>
    </w:lvl>
    <w:lvl w:ilvl="5" w:tplc="8A08DE66">
      <w:numFmt w:val="bullet"/>
      <w:lvlText w:val="•"/>
      <w:lvlJc w:val="left"/>
      <w:pPr>
        <w:ind w:left="4481" w:hanging="361"/>
      </w:pPr>
      <w:rPr>
        <w:rFonts w:hint="default"/>
        <w:lang w:val="en-GB" w:eastAsia="en-GB" w:bidi="en-GB"/>
      </w:rPr>
    </w:lvl>
    <w:lvl w:ilvl="6" w:tplc="7960D66A">
      <w:numFmt w:val="bullet"/>
      <w:lvlText w:val="•"/>
      <w:lvlJc w:val="left"/>
      <w:pPr>
        <w:ind w:left="5582" w:hanging="361"/>
      </w:pPr>
      <w:rPr>
        <w:rFonts w:hint="default"/>
        <w:lang w:val="en-GB" w:eastAsia="en-GB" w:bidi="en-GB"/>
      </w:rPr>
    </w:lvl>
    <w:lvl w:ilvl="7" w:tplc="1A128DC8">
      <w:numFmt w:val="bullet"/>
      <w:lvlText w:val="•"/>
      <w:lvlJc w:val="left"/>
      <w:pPr>
        <w:ind w:left="6683" w:hanging="361"/>
      </w:pPr>
      <w:rPr>
        <w:rFonts w:hint="default"/>
        <w:lang w:val="en-GB" w:eastAsia="en-GB" w:bidi="en-GB"/>
      </w:rPr>
    </w:lvl>
    <w:lvl w:ilvl="8" w:tplc="BD8E6566">
      <w:numFmt w:val="bullet"/>
      <w:lvlText w:val="•"/>
      <w:lvlJc w:val="left"/>
      <w:pPr>
        <w:ind w:left="7784" w:hanging="361"/>
      </w:pPr>
      <w:rPr>
        <w:rFonts w:hint="default"/>
        <w:lang w:val="en-GB" w:eastAsia="en-GB" w:bidi="en-GB"/>
      </w:rPr>
    </w:lvl>
  </w:abstractNum>
  <w:abstractNum w:abstractNumId="1" w15:restartNumberingAfterBreak="0">
    <w:nsid w:val="33051280"/>
    <w:multiLevelType w:val="hybridMultilevel"/>
    <w:tmpl w:val="FDD4458E"/>
    <w:lvl w:ilvl="0" w:tplc="DD14DD30">
      <w:numFmt w:val="bullet"/>
      <w:lvlText w:val=""/>
      <w:lvlJc w:val="left"/>
      <w:pPr>
        <w:ind w:left="831" w:hanging="356"/>
      </w:pPr>
      <w:rPr>
        <w:rFonts w:ascii="Symbol" w:eastAsia="Symbol" w:hAnsi="Symbol" w:cs="Symbol" w:hint="default"/>
        <w:w w:val="100"/>
        <w:sz w:val="22"/>
        <w:szCs w:val="22"/>
        <w:lang w:val="en-GB" w:eastAsia="en-GB" w:bidi="en-GB"/>
      </w:rPr>
    </w:lvl>
    <w:lvl w:ilvl="1" w:tplc="178CD9E6">
      <w:numFmt w:val="bullet"/>
      <w:lvlText w:val="o"/>
      <w:lvlJc w:val="left"/>
      <w:pPr>
        <w:ind w:left="1918" w:hanging="361"/>
      </w:pPr>
      <w:rPr>
        <w:rFonts w:ascii="Courier New" w:eastAsia="Courier New" w:hAnsi="Courier New" w:cs="Courier New" w:hint="default"/>
        <w:w w:val="100"/>
        <w:sz w:val="22"/>
        <w:szCs w:val="22"/>
        <w:lang w:val="en-GB" w:eastAsia="en-GB" w:bidi="en-GB"/>
      </w:rPr>
    </w:lvl>
    <w:lvl w:ilvl="2" w:tplc="FE48D088">
      <w:numFmt w:val="bullet"/>
      <w:lvlText w:val="•"/>
      <w:lvlJc w:val="left"/>
      <w:pPr>
        <w:ind w:left="2816" w:hanging="361"/>
      </w:pPr>
      <w:rPr>
        <w:rFonts w:hint="default"/>
        <w:lang w:val="en-GB" w:eastAsia="en-GB" w:bidi="en-GB"/>
      </w:rPr>
    </w:lvl>
    <w:lvl w:ilvl="3" w:tplc="98E4CC6E">
      <w:numFmt w:val="bullet"/>
      <w:lvlText w:val="•"/>
      <w:lvlJc w:val="left"/>
      <w:pPr>
        <w:ind w:left="3712" w:hanging="361"/>
      </w:pPr>
      <w:rPr>
        <w:rFonts w:hint="default"/>
        <w:lang w:val="en-GB" w:eastAsia="en-GB" w:bidi="en-GB"/>
      </w:rPr>
    </w:lvl>
    <w:lvl w:ilvl="4" w:tplc="479827A8">
      <w:numFmt w:val="bullet"/>
      <w:lvlText w:val="•"/>
      <w:lvlJc w:val="left"/>
      <w:pPr>
        <w:ind w:left="4608" w:hanging="361"/>
      </w:pPr>
      <w:rPr>
        <w:rFonts w:hint="default"/>
        <w:lang w:val="en-GB" w:eastAsia="en-GB" w:bidi="en-GB"/>
      </w:rPr>
    </w:lvl>
    <w:lvl w:ilvl="5" w:tplc="E5348EAE">
      <w:numFmt w:val="bullet"/>
      <w:lvlText w:val="•"/>
      <w:lvlJc w:val="left"/>
      <w:pPr>
        <w:ind w:left="5505" w:hanging="361"/>
      </w:pPr>
      <w:rPr>
        <w:rFonts w:hint="default"/>
        <w:lang w:val="en-GB" w:eastAsia="en-GB" w:bidi="en-GB"/>
      </w:rPr>
    </w:lvl>
    <w:lvl w:ilvl="6" w:tplc="43CEA6F4">
      <w:numFmt w:val="bullet"/>
      <w:lvlText w:val="•"/>
      <w:lvlJc w:val="left"/>
      <w:pPr>
        <w:ind w:left="6401" w:hanging="361"/>
      </w:pPr>
      <w:rPr>
        <w:rFonts w:hint="default"/>
        <w:lang w:val="en-GB" w:eastAsia="en-GB" w:bidi="en-GB"/>
      </w:rPr>
    </w:lvl>
    <w:lvl w:ilvl="7" w:tplc="790A0F76">
      <w:numFmt w:val="bullet"/>
      <w:lvlText w:val="•"/>
      <w:lvlJc w:val="left"/>
      <w:pPr>
        <w:ind w:left="7297" w:hanging="361"/>
      </w:pPr>
      <w:rPr>
        <w:rFonts w:hint="default"/>
        <w:lang w:val="en-GB" w:eastAsia="en-GB" w:bidi="en-GB"/>
      </w:rPr>
    </w:lvl>
    <w:lvl w:ilvl="8" w:tplc="6C9C0D88">
      <w:numFmt w:val="bullet"/>
      <w:lvlText w:val="•"/>
      <w:lvlJc w:val="left"/>
      <w:pPr>
        <w:ind w:left="8193"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D"/>
    <w:rsid w:val="00037106"/>
    <w:rsid w:val="000D2505"/>
    <w:rsid w:val="00283D4A"/>
    <w:rsid w:val="002C3A46"/>
    <w:rsid w:val="002C4937"/>
    <w:rsid w:val="00307797"/>
    <w:rsid w:val="0032743A"/>
    <w:rsid w:val="00330B90"/>
    <w:rsid w:val="0035058D"/>
    <w:rsid w:val="00402780"/>
    <w:rsid w:val="00403DEE"/>
    <w:rsid w:val="00536B84"/>
    <w:rsid w:val="00563648"/>
    <w:rsid w:val="0059542D"/>
    <w:rsid w:val="006D5370"/>
    <w:rsid w:val="006F64D5"/>
    <w:rsid w:val="00733941"/>
    <w:rsid w:val="0076549C"/>
    <w:rsid w:val="00776E89"/>
    <w:rsid w:val="007F3356"/>
    <w:rsid w:val="008B499F"/>
    <w:rsid w:val="008F3334"/>
    <w:rsid w:val="00932B02"/>
    <w:rsid w:val="009E1154"/>
    <w:rsid w:val="00BE0614"/>
    <w:rsid w:val="00BF4814"/>
    <w:rsid w:val="00C76140"/>
    <w:rsid w:val="00CC579A"/>
    <w:rsid w:val="00D27D11"/>
    <w:rsid w:val="00D3598B"/>
    <w:rsid w:val="00E2419F"/>
    <w:rsid w:val="00E55EC1"/>
    <w:rsid w:val="00FC09C4"/>
    <w:rsid w:val="00FF745F"/>
    <w:rsid w:val="06C40650"/>
    <w:rsid w:val="2407B16F"/>
    <w:rsid w:val="2F3B3FA9"/>
    <w:rsid w:val="38F9DBCE"/>
    <w:rsid w:val="3C249143"/>
    <w:rsid w:val="3C2ADD84"/>
    <w:rsid w:val="3D542EAF"/>
    <w:rsid w:val="3E66EB73"/>
    <w:rsid w:val="3F9E6D01"/>
    <w:rsid w:val="42C74C48"/>
    <w:rsid w:val="457C32F8"/>
    <w:rsid w:val="4EF290B7"/>
    <w:rsid w:val="5078A7AD"/>
    <w:rsid w:val="50FC1C27"/>
    <w:rsid w:val="54CDF341"/>
    <w:rsid w:val="606571CC"/>
    <w:rsid w:val="7760C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7561B"/>
  <w15:docId w15:val="{9C631483-0D79-4B2C-B5BD-1F37AFD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75"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38" w:hanging="36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E1154"/>
    <w:rPr>
      <w:color w:val="0000FF" w:themeColor="hyperlink"/>
      <w:u w:val="single"/>
    </w:rPr>
  </w:style>
  <w:style w:type="table" w:styleId="TableGrid">
    <w:name w:val="Table Grid"/>
    <w:basedOn w:val="TableNormal"/>
    <w:uiPriority w:val="39"/>
    <w:rsid w:val="00776E8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41"/>
    <w:rPr>
      <w:rFonts w:ascii="Segoe UI" w:eastAsia="Calibri" w:hAnsi="Segoe UI" w:cs="Segoe UI"/>
      <w:sz w:val="18"/>
      <w:szCs w:val="18"/>
      <w:lang w:val="en-GB" w:eastAsia="en-GB" w:bidi="en-GB"/>
    </w:rPr>
  </w:style>
  <w:style w:type="character" w:styleId="CommentReference">
    <w:name w:val="annotation reference"/>
    <w:basedOn w:val="DefaultParagraphFont"/>
    <w:uiPriority w:val="99"/>
    <w:semiHidden/>
    <w:unhideWhenUsed/>
    <w:rsid w:val="00402780"/>
    <w:rPr>
      <w:sz w:val="16"/>
      <w:szCs w:val="16"/>
    </w:rPr>
  </w:style>
  <w:style w:type="paragraph" w:styleId="CommentText">
    <w:name w:val="annotation text"/>
    <w:basedOn w:val="Normal"/>
    <w:link w:val="CommentTextChar"/>
    <w:uiPriority w:val="99"/>
    <w:semiHidden/>
    <w:unhideWhenUsed/>
    <w:rsid w:val="00402780"/>
    <w:rPr>
      <w:sz w:val="20"/>
      <w:szCs w:val="20"/>
    </w:rPr>
  </w:style>
  <w:style w:type="character" w:customStyle="1" w:styleId="CommentTextChar">
    <w:name w:val="Comment Text Char"/>
    <w:basedOn w:val="DefaultParagraphFont"/>
    <w:link w:val="CommentText"/>
    <w:uiPriority w:val="99"/>
    <w:semiHidden/>
    <w:rsid w:val="0040278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02780"/>
    <w:rPr>
      <w:b/>
      <w:bCs/>
    </w:rPr>
  </w:style>
  <w:style w:type="character" w:customStyle="1" w:styleId="CommentSubjectChar">
    <w:name w:val="Comment Subject Char"/>
    <w:basedOn w:val="CommentTextChar"/>
    <w:link w:val="CommentSubject"/>
    <w:uiPriority w:val="99"/>
    <w:semiHidden/>
    <w:rsid w:val="00402780"/>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C76140"/>
    <w:pPr>
      <w:tabs>
        <w:tab w:val="center" w:pos="4513"/>
        <w:tab w:val="right" w:pos="9026"/>
      </w:tabs>
    </w:pPr>
  </w:style>
  <w:style w:type="character" w:customStyle="1" w:styleId="HeaderChar">
    <w:name w:val="Header Char"/>
    <w:basedOn w:val="DefaultParagraphFont"/>
    <w:link w:val="Header"/>
    <w:uiPriority w:val="99"/>
    <w:rsid w:val="00C76140"/>
    <w:rPr>
      <w:rFonts w:ascii="Calibri" w:eastAsia="Calibri" w:hAnsi="Calibri" w:cs="Calibri"/>
      <w:lang w:val="en-GB" w:eastAsia="en-GB" w:bidi="en-GB"/>
    </w:rPr>
  </w:style>
  <w:style w:type="paragraph" w:styleId="Footer">
    <w:name w:val="footer"/>
    <w:basedOn w:val="Normal"/>
    <w:link w:val="FooterChar"/>
    <w:uiPriority w:val="99"/>
    <w:unhideWhenUsed/>
    <w:rsid w:val="00C76140"/>
    <w:pPr>
      <w:tabs>
        <w:tab w:val="center" w:pos="4513"/>
        <w:tab w:val="right" w:pos="9026"/>
      </w:tabs>
    </w:pPr>
  </w:style>
  <w:style w:type="character" w:customStyle="1" w:styleId="FooterChar">
    <w:name w:val="Footer Char"/>
    <w:basedOn w:val="DefaultParagraphFont"/>
    <w:link w:val="Footer"/>
    <w:uiPriority w:val="99"/>
    <w:rsid w:val="00C76140"/>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932B02"/>
    <w:rPr>
      <w:color w:val="605E5C"/>
      <w:shd w:val="clear" w:color="auto" w:fill="E1DFDD"/>
    </w:rPr>
  </w:style>
  <w:style w:type="character" w:styleId="FollowedHyperlink">
    <w:name w:val="FollowedHyperlink"/>
    <w:basedOn w:val="DefaultParagraphFont"/>
    <w:uiPriority w:val="99"/>
    <w:semiHidden/>
    <w:unhideWhenUsed/>
    <w:rsid w:val="00932B02"/>
    <w:rPr>
      <w:color w:val="800080" w:themeColor="followedHyperlink"/>
      <w:u w:val="single"/>
    </w:rPr>
  </w:style>
  <w:style w:type="paragraph" w:styleId="NormalWeb">
    <w:name w:val="Normal (Web)"/>
    <w:basedOn w:val="Normal"/>
    <w:uiPriority w:val="99"/>
    <w:semiHidden/>
    <w:unhideWhenUsed/>
    <w:rsid w:val="007654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403DEE"/>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7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mmoneuropeanframework.org/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bo.org/examiner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c01.safelinks.protection.outlook.com/?url=https%3A%2F%2Fwww.ibo.org%2Fcontentassets%2F40baa9d7fb72482881be9a12f217f8a9%2Fuse-of-calculators-in-examinations-2020_e.pdf&amp;data=02%7C01%7Csavannah.fecht%40ibo.org%7C143040e61a1c480285d608d8138de1c9%7C68b2d50a57dd4bd585bba249b0b19ddf%7C0%7C0%7C637280847381829976&amp;sdata=cSPov2JY6xDZSS4%2BxcafWLSbM8K8joAWKA%2BkhDlcVMc%3D&amp;reserved=0" TargetMode="External"/><Relationship Id="rId5" Type="http://schemas.openxmlformats.org/officeDocument/2006/relationships/numbering" Target="numbering.xml"/><Relationship Id="rId15" Type="http://schemas.openxmlformats.org/officeDocument/2006/relationships/hyperlink" Target="https://www.ibo.org/jobs-and-careers/become-an-assessment-ib-educator/conflicts-of-interest/" TargetMode="External"/><Relationship Id="rId10" Type="http://schemas.openxmlformats.org/officeDocument/2006/relationships/endnotes" Target="endnotes.xml"/><Relationship Id="rId19" Type="http://schemas.openxmlformats.org/officeDocument/2006/relationships/hyperlink" Target="https://www.commoneuropeanframework.org/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D6D26DD8BD040A0E1A0B61B084D07" ma:contentTypeVersion="13" ma:contentTypeDescription="Create a new document." ma:contentTypeScope="" ma:versionID="de3732d51b6da0ac8d57a4af820d812f">
  <xsd:schema xmlns:xsd="http://www.w3.org/2001/XMLSchema" xmlns:xs="http://www.w3.org/2001/XMLSchema" xmlns:p="http://schemas.microsoft.com/office/2006/metadata/properties" xmlns:ns3="cace60d2-578f-4878-932a-cc1eec2788f5" xmlns:ns4="456d2a50-0c56-412c-9938-1a17e2aa9f41" targetNamespace="http://schemas.microsoft.com/office/2006/metadata/properties" ma:root="true" ma:fieldsID="0841a15b01e3582f458b71e23f1a3f8c" ns3:_="" ns4:_="">
    <xsd:import namespace="cace60d2-578f-4878-932a-cc1eec2788f5"/>
    <xsd:import namespace="456d2a50-0c56-412c-9938-1a17e2aa9f4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e60d2-578f-4878-932a-cc1eec2788f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d2a50-0c56-412c-9938-1a17e2aa9f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F132-E9F0-4D34-8F13-264F27B5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e60d2-578f-4878-932a-cc1eec2788f5"/>
    <ds:schemaRef ds:uri="456d2a50-0c56-412c-9938-1a17e2aa9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D3385-A00D-4805-87EA-9D8860CC30E8}">
  <ds:schemaRefs>
    <ds:schemaRef ds:uri="http://schemas.microsoft.com/sharepoint/v3/contenttype/forms"/>
  </ds:schemaRefs>
</ds:datastoreItem>
</file>

<file path=customXml/itemProps3.xml><?xml version="1.0" encoding="utf-8"?>
<ds:datastoreItem xmlns:ds="http://schemas.openxmlformats.org/officeDocument/2006/customXml" ds:itemID="{7A22D0A5-4EFD-4604-A178-4D44DC49F0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54F35-8752-49BD-A1BF-EA35476C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Roberts</dc:creator>
  <cp:lastModifiedBy>Savannah Fecht</cp:lastModifiedBy>
  <cp:revision>2</cp:revision>
  <dcterms:created xsi:type="dcterms:W3CDTF">2021-11-29T12:05:00Z</dcterms:created>
  <dcterms:modified xsi:type="dcterms:W3CDTF">2021-11-29T12:05:00Z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Acrobat PDFMaker 19 for Word</vt:lpwstr>
  </property>
  <property fmtid="{D5CDD505-2E9C-101B-9397-08002B2CF9AE}" pid="4" name="LastSaved">
    <vt:filetime>2019-08-14T00:00:00Z</vt:filetime>
  </property>
  <property fmtid="{D5CDD505-2E9C-101B-9397-08002B2CF9AE}" pid="5" name="ContentTypeId">
    <vt:lpwstr>0x010100677D6D26DD8BD040A0E1A0B61B084D07</vt:lpwstr>
  </property>
</Properties>
</file>