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35058D" w:rsidRDefault="0035058D" w:rsidP="00403DEE">
      <w:pPr>
        <w:pStyle w:val="BodyText"/>
        <w:spacing w:before="6"/>
        <w:rPr>
          <w:rFonts w:ascii="Times New Roman"/>
          <w:sz w:val="27"/>
        </w:rPr>
      </w:pPr>
    </w:p>
    <w:p w14:paraId="302E9856" w14:textId="77777777" w:rsidR="0035058D" w:rsidRPr="00562710" w:rsidRDefault="008B499F" w:rsidP="0055573F">
      <w:pPr>
        <w:spacing w:before="35"/>
        <w:rPr>
          <w:sz w:val="32"/>
          <w:lang w:val="es-419"/>
        </w:rPr>
      </w:pPr>
      <w:r>
        <w:rPr>
          <w:color w:val="006FC0"/>
          <w:sz w:val="32"/>
          <w:lang w:val="es"/>
        </w:rPr>
        <w:t>Política del IB sobre la selección y contratación de examinadores</w:t>
      </w:r>
    </w:p>
    <w:p w14:paraId="29EAC3F1" w14:textId="753D287F" w:rsidR="0035058D" w:rsidRDefault="008B499F" w:rsidP="00403DEE">
      <w:pPr>
        <w:pStyle w:val="BodyText"/>
        <w:tabs>
          <w:tab w:val="left" w:pos="2277"/>
        </w:tabs>
        <w:spacing w:before="191"/>
        <w:ind w:left="117"/>
      </w:pPr>
      <w:r>
        <w:rPr>
          <w:lang w:val="es"/>
        </w:rPr>
        <w:t>Versión 1.</w:t>
      </w:r>
      <w:r w:rsidR="004064D9">
        <w:rPr>
          <w:lang w:val="es"/>
        </w:rPr>
        <w:t>7</w:t>
      </w:r>
      <w:r>
        <w:rPr>
          <w:lang w:val="es"/>
        </w:rPr>
        <w:t xml:space="preserve">, </w:t>
      </w:r>
      <w:r w:rsidR="004064D9">
        <w:rPr>
          <w:lang w:val="es"/>
        </w:rPr>
        <w:t>3</w:t>
      </w:r>
      <w:r>
        <w:rPr>
          <w:lang w:val="es"/>
        </w:rPr>
        <w:t xml:space="preserve"> de </w:t>
      </w:r>
      <w:r w:rsidR="004064D9">
        <w:rPr>
          <w:lang w:val="es"/>
        </w:rPr>
        <w:t>octubre</w:t>
      </w:r>
      <w:r>
        <w:rPr>
          <w:lang w:val="es"/>
        </w:rPr>
        <w:t xml:space="preserve"> de 202</w:t>
      </w:r>
      <w:r w:rsidR="004064D9">
        <w:rPr>
          <w:lang w:val="es"/>
        </w:rPr>
        <w:t>2</w:t>
      </w:r>
    </w:p>
    <w:p w14:paraId="41783EBC" w14:textId="77777777" w:rsidR="0035058D" w:rsidRDefault="008B499F" w:rsidP="00562710">
      <w:pPr>
        <w:pStyle w:val="Heading1"/>
        <w:numPr>
          <w:ilvl w:val="0"/>
          <w:numId w:val="2"/>
        </w:numPr>
        <w:tabs>
          <w:tab w:val="left" w:pos="478"/>
        </w:tabs>
        <w:spacing w:before="183"/>
        <w:jc w:val="both"/>
      </w:pPr>
      <w:r>
        <w:rPr>
          <w:lang w:val="es"/>
        </w:rPr>
        <w:t>Propósito del documento</w:t>
      </w:r>
    </w:p>
    <w:p w14:paraId="0C20799D" w14:textId="77777777" w:rsidR="0035058D" w:rsidRPr="00562710" w:rsidRDefault="008B499F" w:rsidP="00562710">
      <w:pPr>
        <w:pStyle w:val="BodyText"/>
        <w:spacing w:before="25" w:line="259" w:lineRule="auto"/>
        <w:ind w:left="477" w:right="205"/>
        <w:jc w:val="both"/>
        <w:rPr>
          <w:lang w:val="es-419"/>
        </w:rPr>
      </w:pPr>
      <w:r>
        <w:rPr>
          <w:lang w:val="es"/>
        </w:rPr>
        <w:t>El objetivo de este documento es especificar los requisitos mínimos que deben cumplir las personas interesadas en trabajar como examinadores del IB para el Programa de los Años Intermedios (PAI), el Programa del Diploma (PD) y el Programa de Orientación Profesional (POP). En el documento también se incluyen las cualidades deseables que podrán tenerse en cuenta durante el proceso de selección.</w:t>
      </w:r>
    </w:p>
    <w:p w14:paraId="5DAB6C7B" w14:textId="77777777" w:rsidR="0035058D" w:rsidRPr="00562710" w:rsidRDefault="0035058D" w:rsidP="00562710">
      <w:pPr>
        <w:pStyle w:val="BodyText"/>
        <w:spacing w:before="9"/>
        <w:jc w:val="both"/>
        <w:rPr>
          <w:sz w:val="23"/>
          <w:lang w:val="es-419"/>
        </w:rPr>
      </w:pPr>
    </w:p>
    <w:p w14:paraId="182CC282" w14:textId="77777777" w:rsidR="0035058D" w:rsidRDefault="008B499F" w:rsidP="00562710">
      <w:pPr>
        <w:pStyle w:val="Heading1"/>
        <w:numPr>
          <w:ilvl w:val="0"/>
          <w:numId w:val="2"/>
        </w:numPr>
        <w:tabs>
          <w:tab w:val="left" w:pos="478"/>
        </w:tabs>
        <w:jc w:val="both"/>
      </w:pPr>
      <w:r>
        <w:rPr>
          <w:lang w:val="es"/>
        </w:rPr>
        <w:t>Requisitos de solicitud</w:t>
      </w:r>
    </w:p>
    <w:p w14:paraId="762C5CC0" w14:textId="77777777" w:rsidR="0035058D" w:rsidRPr="00562710" w:rsidRDefault="008B499F" w:rsidP="00562710">
      <w:pPr>
        <w:pStyle w:val="BodyText"/>
        <w:spacing w:before="25" w:line="259" w:lineRule="auto"/>
        <w:ind w:left="458" w:right="820"/>
        <w:jc w:val="both"/>
        <w:rPr>
          <w:lang w:val="es-419"/>
        </w:rPr>
      </w:pPr>
      <w:r>
        <w:rPr>
          <w:lang w:val="es"/>
        </w:rPr>
        <w:t xml:space="preserve">La lista siguiente indica los requisitos que </w:t>
      </w:r>
      <w:r>
        <w:rPr>
          <w:b/>
          <w:bCs/>
          <w:lang w:val="es"/>
        </w:rPr>
        <w:t xml:space="preserve">deben </w:t>
      </w:r>
      <w:r>
        <w:rPr>
          <w:lang w:val="es"/>
        </w:rPr>
        <w:t>cumplir aquellos que soliciten el puesto de examinador del IB.</w:t>
      </w:r>
    </w:p>
    <w:p w14:paraId="13C5AB51" w14:textId="77777777" w:rsidR="0035058D" w:rsidRPr="00562710" w:rsidRDefault="008B499F" w:rsidP="00562710">
      <w:pPr>
        <w:pStyle w:val="ListParagraph"/>
        <w:numPr>
          <w:ilvl w:val="1"/>
          <w:numId w:val="2"/>
        </w:numPr>
        <w:tabs>
          <w:tab w:val="left" w:pos="902"/>
          <w:tab w:val="left" w:pos="903"/>
        </w:tabs>
        <w:spacing w:before="1" w:line="256" w:lineRule="auto"/>
        <w:ind w:right="230" w:hanging="360"/>
        <w:jc w:val="both"/>
        <w:rPr>
          <w:lang w:val="es-419"/>
        </w:rPr>
      </w:pPr>
      <w:r>
        <w:rPr>
          <w:b/>
          <w:bCs/>
          <w:lang w:val="es"/>
        </w:rPr>
        <w:t>Deben</w:t>
      </w:r>
      <w:r>
        <w:rPr>
          <w:lang w:val="es"/>
        </w:rPr>
        <w:t xml:space="preserve"> poseer un título universitario o equivalente en la asignatura (o área relacionada) que desean evaluar.</w:t>
      </w:r>
    </w:p>
    <w:p w14:paraId="7D4483B7" w14:textId="77777777" w:rsidR="0035058D" w:rsidRPr="00562710" w:rsidRDefault="008B499F" w:rsidP="00562710">
      <w:pPr>
        <w:pStyle w:val="ListParagraph"/>
        <w:numPr>
          <w:ilvl w:val="1"/>
          <w:numId w:val="2"/>
        </w:numPr>
        <w:tabs>
          <w:tab w:val="left" w:pos="902"/>
          <w:tab w:val="left" w:pos="903"/>
        </w:tabs>
        <w:spacing w:before="4" w:line="259" w:lineRule="auto"/>
        <w:ind w:right="833" w:hanging="360"/>
        <w:jc w:val="both"/>
        <w:rPr>
          <w:lang w:val="es-419"/>
        </w:rPr>
      </w:pPr>
      <w:r>
        <w:rPr>
          <w:b/>
          <w:bCs/>
          <w:lang w:val="es"/>
        </w:rPr>
        <w:t>Deben</w:t>
      </w:r>
      <w:r>
        <w:rPr>
          <w:lang w:val="es"/>
        </w:rPr>
        <w:t xml:space="preserve"> contar con al menos un año de experiencia docente impartiendo la asignatura en cuestión (o una relacionada) a alumnos del grupo de edad correspondiente:</w:t>
      </w:r>
    </w:p>
    <w:p w14:paraId="48C5C19B" w14:textId="77777777" w:rsidR="0035058D" w:rsidRDefault="008B499F" w:rsidP="00562710">
      <w:pPr>
        <w:pStyle w:val="ListParagraph"/>
        <w:numPr>
          <w:ilvl w:val="2"/>
          <w:numId w:val="2"/>
        </w:numPr>
        <w:tabs>
          <w:tab w:val="left" w:pos="2277"/>
          <w:tab w:val="left" w:pos="2278"/>
        </w:tabs>
        <w:spacing w:before="0" w:line="274" w:lineRule="exact"/>
        <w:ind w:hanging="360"/>
        <w:jc w:val="both"/>
      </w:pPr>
      <w:r>
        <w:rPr>
          <w:lang w:val="es"/>
        </w:rPr>
        <w:t>De 14 a 16 años (PAI)</w:t>
      </w:r>
    </w:p>
    <w:p w14:paraId="02EB378F" w14:textId="77777777" w:rsidR="0035058D" w:rsidRDefault="0035058D" w:rsidP="00562710">
      <w:pPr>
        <w:pStyle w:val="BodyText"/>
        <w:spacing w:before="1"/>
        <w:jc w:val="both"/>
        <w:rPr>
          <w:sz w:val="19"/>
        </w:rPr>
      </w:pPr>
    </w:p>
    <w:p w14:paraId="4E6ED97A" w14:textId="77777777" w:rsidR="0035058D" w:rsidRPr="00562710" w:rsidRDefault="008B499F" w:rsidP="00562710">
      <w:pPr>
        <w:pStyle w:val="ListParagraph"/>
        <w:numPr>
          <w:ilvl w:val="2"/>
          <w:numId w:val="2"/>
        </w:numPr>
        <w:tabs>
          <w:tab w:val="left" w:pos="2277"/>
          <w:tab w:val="left" w:pos="2278"/>
        </w:tabs>
        <w:spacing w:before="1"/>
        <w:ind w:hanging="360"/>
        <w:jc w:val="both"/>
        <w:rPr>
          <w:lang w:val="es-419"/>
        </w:rPr>
      </w:pPr>
      <w:r>
        <w:rPr>
          <w:lang w:val="es"/>
        </w:rPr>
        <w:t>De 16 a 19 años (PD/POP)</w:t>
      </w:r>
    </w:p>
    <w:p w14:paraId="6A05A809" w14:textId="77777777" w:rsidR="0035058D" w:rsidRPr="00562710" w:rsidRDefault="0035058D" w:rsidP="00562710">
      <w:pPr>
        <w:pStyle w:val="BodyText"/>
        <w:spacing w:before="1"/>
        <w:jc w:val="both"/>
        <w:rPr>
          <w:sz w:val="19"/>
          <w:lang w:val="es-419"/>
        </w:rPr>
      </w:pPr>
    </w:p>
    <w:p w14:paraId="0BE76BD1" w14:textId="77777777" w:rsidR="0035058D" w:rsidRPr="00562710" w:rsidRDefault="008B499F" w:rsidP="00562710">
      <w:pPr>
        <w:pStyle w:val="ListParagraph"/>
        <w:numPr>
          <w:ilvl w:val="1"/>
          <w:numId w:val="2"/>
        </w:numPr>
        <w:tabs>
          <w:tab w:val="left" w:pos="868"/>
          <w:tab w:val="left" w:pos="870"/>
        </w:tabs>
        <w:spacing w:before="0"/>
        <w:ind w:left="869"/>
        <w:jc w:val="both"/>
        <w:rPr>
          <w:lang w:val="es-419"/>
        </w:rPr>
      </w:pPr>
      <w:r>
        <w:rPr>
          <w:lang w:val="es"/>
        </w:rPr>
        <w:t xml:space="preserve">Si ya no se dedican a enseñar, </w:t>
      </w:r>
      <w:r>
        <w:rPr>
          <w:b/>
          <w:bCs/>
          <w:lang w:val="es"/>
        </w:rPr>
        <w:t>deben</w:t>
      </w:r>
      <w:r>
        <w:rPr>
          <w:lang w:val="es"/>
        </w:rPr>
        <w:t xml:space="preserve"> haber ejercido como docentes o examinadores en los últimos tres años.</w:t>
      </w:r>
    </w:p>
    <w:p w14:paraId="5A39BBE3" w14:textId="77777777" w:rsidR="00776E89" w:rsidRPr="00562710" w:rsidRDefault="00776E89" w:rsidP="00562710">
      <w:pPr>
        <w:pStyle w:val="ListParagraph"/>
        <w:tabs>
          <w:tab w:val="left" w:pos="868"/>
          <w:tab w:val="left" w:pos="870"/>
        </w:tabs>
        <w:spacing w:before="0"/>
        <w:ind w:left="869" w:firstLine="0"/>
        <w:jc w:val="both"/>
        <w:rPr>
          <w:lang w:val="es-419"/>
        </w:rPr>
      </w:pPr>
    </w:p>
    <w:p w14:paraId="69B13B58" w14:textId="2A350C62" w:rsidR="0035058D" w:rsidRPr="00562710" w:rsidRDefault="008B499F" w:rsidP="0055573F">
      <w:pPr>
        <w:pStyle w:val="ListParagraph"/>
        <w:numPr>
          <w:ilvl w:val="1"/>
          <w:numId w:val="2"/>
        </w:numPr>
        <w:jc w:val="both"/>
        <w:rPr>
          <w:rFonts w:asciiTheme="minorHAnsi" w:eastAsiaTheme="minorEastAsia" w:hAnsiTheme="minorHAnsi" w:cstheme="minorBidi"/>
          <w:lang w:val="es-419"/>
        </w:rPr>
      </w:pPr>
      <w:r>
        <w:rPr>
          <w:lang w:val="es"/>
        </w:rPr>
        <w:t xml:space="preserve">En el caso de las asignaturas de Matemáticas del PD, </w:t>
      </w:r>
      <w:r>
        <w:rPr>
          <w:b/>
          <w:bCs/>
          <w:lang w:val="es"/>
        </w:rPr>
        <w:t>deben</w:t>
      </w:r>
      <w:r>
        <w:rPr>
          <w:lang w:val="es"/>
        </w:rPr>
        <w:t xml:space="preserve"> ser competentes en el uso de calculadoras aprobadas por el IB (encontrará una lista de los modelos autorizados aquí: </w:t>
      </w:r>
      <w:r w:rsidR="0055573F">
        <w:rPr>
          <w:lang w:val="es"/>
        </w:rPr>
        <w:br/>
      </w:r>
      <w:hyperlink r:id="rId11" w:history="1">
        <w:r w:rsidR="0055573F" w:rsidRPr="00DD3F52">
          <w:rPr>
            <w:rStyle w:val="Hyperlink"/>
            <w:lang w:val="es"/>
          </w:rPr>
          <w:t>https://www.ibo.org/contentassets/40baa9d7fb72482881be9a12f217f8a9/use-of-calculators-in-examinations-2020_s.pdf</w:t>
        </w:r>
      </w:hyperlink>
      <w:r>
        <w:rPr>
          <w:lang w:val="es"/>
        </w:rPr>
        <w:t>).</w:t>
      </w:r>
    </w:p>
    <w:p w14:paraId="41C8F396" w14:textId="77777777" w:rsidR="00BE0614" w:rsidRPr="00562710" w:rsidRDefault="00BE0614" w:rsidP="00562710">
      <w:pPr>
        <w:jc w:val="both"/>
        <w:rPr>
          <w:rFonts w:eastAsiaTheme="minorHAnsi"/>
          <w:lang w:val="es-419"/>
        </w:rPr>
      </w:pPr>
    </w:p>
    <w:p w14:paraId="16B30CC5" w14:textId="1BACEFA0" w:rsidR="0035058D" w:rsidRPr="00562710" w:rsidRDefault="008B499F" w:rsidP="00562710">
      <w:pPr>
        <w:pStyle w:val="ListParagraph"/>
        <w:numPr>
          <w:ilvl w:val="1"/>
          <w:numId w:val="2"/>
        </w:numPr>
        <w:tabs>
          <w:tab w:val="left" w:pos="854"/>
          <w:tab w:val="left" w:pos="855"/>
        </w:tabs>
        <w:spacing w:before="0" w:line="273" w:lineRule="auto"/>
        <w:ind w:left="854" w:right="110" w:hanging="357"/>
        <w:jc w:val="both"/>
        <w:rPr>
          <w:lang w:val="es-419"/>
        </w:rPr>
      </w:pPr>
      <w:r>
        <w:rPr>
          <w:lang w:val="es"/>
        </w:rPr>
        <w:t xml:space="preserve">Los solicitantes para Teoría del Conocimiento o el Proyecto de Reflexión </w:t>
      </w:r>
      <w:r>
        <w:rPr>
          <w:b/>
          <w:bCs/>
          <w:lang w:val="es"/>
        </w:rPr>
        <w:t>deben</w:t>
      </w:r>
      <w:r>
        <w:rPr>
          <w:lang w:val="es"/>
        </w:rPr>
        <w:t xml:space="preserve"> tener experiencia en la enseñanza de estas asignaturas en un Colegio del Mundo del IB.</w:t>
      </w:r>
    </w:p>
    <w:p w14:paraId="72A3D3EC" w14:textId="77777777" w:rsidR="0035058D" w:rsidRPr="00562710" w:rsidRDefault="0035058D" w:rsidP="00562710">
      <w:pPr>
        <w:pStyle w:val="BodyText"/>
        <w:spacing w:before="9"/>
        <w:jc w:val="both"/>
        <w:rPr>
          <w:sz w:val="16"/>
          <w:lang w:val="es-419"/>
        </w:rPr>
      </w:pPr>
    </w:p>
    <w:p w14:paraId="67CC74D1" w14:textId="77777777" w:rsidR="0035058D" w:rsidRPr="00562710" w:rsidRDefault="008B499F" w:rsidP="00562710">
      <w:pPr>
        <w:pStyle w:val="ListParagraph"/>
        <w:numPr>
          <w:ilvl w:val="0"/>
          <w:numId w:val="1"/>
        </w:numPr>
        <w:tabs>
          <w:tab w:val="left" w:pos="831"/>
          <w:tab w:val="left" w:pos="832"/>
        </w:tabs>
        <w:spacing w:before="0"/>
        <w:ind w:right="667"/>
        <w:jc w:val="both"/>
        <w:rPr>
          <w:lang w:val="es-419"/>
        </w:rPr>
      </w:pPr>
      <w:r>
        <w:rPr>
          <w:lang w:val="es"/>
        </w:rPr>
        <w:t>Deben ser capaces de evaluar a los alumnos y redactar informes en la lengua de respuesta de la asignatura evaluada.</w:t>
      </w:r>
    </w:p>
    <w:p w14:paraId="0D0B940D" w14:textId="77777777" w:rsidR="0035058D" w:rsidRPr="00562710" w:rsidRDefault="0035058D" w:rsidP="00562710">
      <w:pPr>
        <w:pStyle w:val="BodyText"/>
        <w:spacing w:before="4"/>
        <w:jc w:val="both"/>
        <w:rPr>
          <w:sz w:val="16"/>
          <w:lang w:val="es-419"/>
        </w:rPr>
      </w:pPr>
    </w:p>
    <w:p w14:paraId="7D8393EC" w14:textId="77777777" w:rsidR="0035058D" w:rsidRPr="00562710" w:rsidRDefault="008B499F" w:rsidP="00562710">
      <w:pPr>
        <w:pStyle w:val="ListParagraph"/>
        <w:numPr>
          <w:ilvl w:val="0"/>
          <w:numId w:val="1"/>
        </w:numPr>
        <w:tabs>
          <w:tab w:val="left" w:pos="838"/>
          <w:tab w:val="left" w:pos="839"/>
        </w:tabs>
        <w:spacing w:before="1"/>
        <w:ind w:left="838" w:hanging="360"/>
        <w:jc w:val="both"/>
        <w:rPr>
          <w:lang w:val="es-419"/>
        </w:rPr>
      </w:pPr>
      <w:r>
        <w:rPr>
          <w:b/>
          <w:bCs/>
          <w:lang w:val="es"/>
        </w:rPr>
        <w:t>Deben</w:t>
      </w:r>
      <w:r>
        <w:rPr>
          <w:lang w:val="es"/>
        </w:rPr>
        <w:t xml:space="preserve"> poder comunicarse y leer documentos en español, francés o inglés.</w:t>
      </w:r>
    </w:p>
    <w:p w14:paraId="0E27B00A" w14:textId="77777777" w:rsidR="0035058D" w:rsidRPr="00562710" w:rsidRDefault="0035058D" w:rsidP="00562710">
      <w:pPr>
        <w:pStyle w:val="BodyText"/>
        <w:spacing w:before="10"/>
        <w:jc w:val="both"/>
        <w:rPr>
          <w:sz w:val="23"/>
          <w:lang w:val="es-419"/>
        </w:rPr>
      </w:pPr>
    </w:p>
    <w:p w14:paraId="7BEE4FAE" w14:textId="77777777" w:rsidR="0035058D" w:rsidRPr="00562710" w:rsidRDefault="008B499F" w:rsidP="00562710">
      <w:pPr>
        <w:pStyle w:val="ListParagraph"/>
        <w:numPr>
          <w:ilvl w:val="0"/>
          <w:numId w:val="1"/>
        </w:numPr>
        <w:tabs>
          <w:tab w:val="left" w:pos="857"/>
          <w:tab w:val="left" w:pos="858"/>
        </w:tabs>
        <w:spacing w:before="0" w:line="256" w:lineRule="auto"/>
        <w:ind w:left="857" w:right="292" w:hanging="360"/>
        <w:jc w:val="both"/>
        <w:rPr>
          <w:lang w:val="es-419"/>
        </w:rPr>
      </w:pPr>
      <w:r>
        <w:rPr>
          <w:b/>
          <w:bCs/>
          <w:lang w:val="es"/>
        </w:rPr>
        <w:t>Deben</w:t>
      </w:r>
      <w:r>
        <w:rPr>
          <w:lang w:val="es"/>
        </w:rPr>
        <w:t xml:space="preserve"> tener una conexión a Internet de banda ancha de, como mínimo, 256 kbps (2 Mbps es el mínimo recomendado) en un entorno seguro apropiado para corregir material de examen confidencial.</w:t>
      </w:r>
    </w:p>
    <w:p w14:paraId="60061E4C" w14:textId="77777777" w:rsidR="0035058D" w:rsidRPr="00562710" w:rsidRDefault="0035058D" w:rsidP="00562710">
      <w:pPr>
        <w:pStyle w:val="BodyText"/>
        <w:spacing w:before="4"/>
        <w:jc w:val="both"/>
        <w:rPr>
          <w:sz w:val="24"/>
          <w:lang w:val="es-419"/>
        </w:rPr>
      </w:pPr>
    </w:p>
    <w:p w14:paraId="31AAA1A4" w14:textId="77777777" w:rsidR="0035058D" w:rsidRPr="00562710" w:rsidRDefault="008B499F" w:rsidP="00562710">
      <w:pPr>
        <w:pStyle w:val="ListParagraph"/>
        <w:numPr>
          <w:ilvl w:val="0"/>
          <w:numId w:val="1"/>
        </w:numPr>
        <w:tabs>
          <w:tab w:val="left" w:pos="869"/>
          <w:tab w:val="left" w:pos="870"/>
        </w:tabs>
        <w:spacing w:before="0"/>
        <w:ind w:left="869" w:hanging="360"/>
        <w:jc w:val="both"/>
        <w:rPr>
          <w:lang w:val="es-419"/>
        </w:rPr>
      </w:pPr>
      <w:r>
        <w:rPr>
          <w:lang w:val="es"/>
        </w:rPr>
        <w:t>Todas las solicitudes para el puesto de examinador deben estar respaldadas por un mínimo de dos referencias profesionales.</w:t>
      </w:r>
    </w:p>
    <w:p w14:paraId="6C030F75" w14:textId="77777777" w:rsidR="0035058D" w:rsidRPr="00562710" w:rsidRDefault="008B499F" w:rsidP="00562710">
      <w:pPr>
        <w:pStyle w:val="ListParagraph"/>
        <w:numPr>
          <w:ilvl w:val="1"/>
          <w:numId w:val="1"/>
        </w:numPr>
        <w:tabs>
          <w:tab w:val="left" w:pos="1918"/>
          <w:tab w:val="left" w:pos="1919"/>
        </w:tabs>
        <w:spacing w:before="41" w:line="266" w:lineRule="auto"/>
        <w:ind w:right="113" w:hanging="360"/>
        <w:jc w:val="both"/>
        <w:rPr>
          <w:lang w:val="es-419"/>
        </w:rPr>
      </w:pPr>
      <w:r>
        <w:rPr>
          <w:lang w:val="es"/>
        </w:rPr>
        <w:t xml:space="preserve">Si trabaja en un colegio, al menos una de las referencias </w:t>
      </w:r>
      <w:r>
        <w:rPr>
          <w:b/>
          <w:bCs/>
          <w:lang w:val="es"/>
        </w:rPr>
        <w:t xml:space="preserve">debe </w:t>
      </w:r>
      <w:r>
        <w:rPr>
          <w:lang w:val="es"/>
        </w:rPr>
        <w:t>venir del director o vicedirector, o del coordinador del IB, si se trata de un Colegio del Mundo del IB.</w:t>
      </w:r>
    </w:p>
    <w:p w14:paraId="55387104" w14:textId="77777777" w:rsidR="0035058D" w:rsidRPr="00562710" w:rsidRDefault="008B499F" w:rsidP="00562710">
      <w:pPr>
        <w:pStyle w:val="ListParagraph"/>
        <w:numPr>
          <w:ilvl w:val="1"/>
          <w:numId w:val="1"/>
        </w:numPr>
        <w:tabs>
          <w:tab w:val="left" w:pos="1918"/>
          <w:tab w:val="left" w:pos="1919"/>
        </w:tabs>
        <w:spacing w:before="14" w:line="268" w:lineRule="auto"/>
        <w:ind w:right="112" w:hanging="360"/>
        <w:jc w:val="both"/>
        <w:rPr>
          <w:lang w:val="es-419"/>
        </w:rPr>
      </w:pPr>
      <w:r>
        <w:rPr>
          <w:lang w:val="es"/>
        </w:rPr>
        <w:t xml:space="preserve">Si se jubiló recientemente o ya no trabaja en el campo de la educación, al menos una de las personas que le proporcione referencias </w:t>
      </w:r>
      <w:r>
        <w:rPr>
          <w:b/>
          <w:bCs/>
          <w:lang w:val="es"/>
        </w:rPr>
        <w:t xml:space="preserve">debe </w:t>
      </w:r>
      <w:r>
        <w:rPr>
          <w:lang w:val="es"/>
        </w:rPr>
        <w:t>ser el director, vicedirector o coordinador del IB del último colegio en el que trabajó.</w:t>
      </w:r>
    </w:p>
    <w:p w14:paraId="36179647" w14:textId="77777777" w:rsidR="0035058D" w:rsidRPr="00562710" w:rsidRDefault="008B499F" w:rsidP="00562710">
      <w:pPr>
        <w:pStyle w:val="ListParagraph"/>
        <w:numPr>
          <w:ilvl w:val="1"/>
          <w:numId w:val="1"/>
        </w:numPr>
        <w:tabs>
          <w:tab w:val="left" w:pos="1918"/>
          <w:tab w:val="left" w:pos="1919"/>
        </w:tabs>
        <w:spacing w:before="8" w:line="268" w:lineRule="auto"/>
        <w:ind w:left="1919" w:right="113"/>
        <w:jc w:val="both"/>
        <w:rPr>
          <w:lang w:val="es-419"/>
        </w:rPr>
      </w:pPr>
      <w:r>
        <w:rPr>
          <w:lang w:val="es"/>
        </w:rPr>
        <w:lastRenderedPageBreak/>
        <w:t xml:space="preserve">Si trabaja en una universidad o institución de educación superior, al menos una de las personas que le proporcione referencias </w:t>
      </w:r>
      <w:r>
        <w:rPr>
          <w:b/>
          <w:bCs/>
          <w:lang w:val="es"/>
        </w:rPr>
        <w:t xml:space="preserve">debe </w:t>
      </w:r>
      <w:r>
        <w:rPr>
          <w:lang w:val="es"/>
        </w:rPr>
        <w:t>ser alguien que ocupe un cargo más alto que el suyo, como un jefe de departamento.</w:t>
      </w:r>
    </w:p>
    <w:p w14:paraId="1A1A6125" w14:textId="77777777" w:rsidR="0035058D" w:rsidRPr="00562710" w:rsidRDefault="008B499F" w:rsidP="00562710">
      <w:pPr>
        <w:pStyle w:val="ListParagraph"/>
        <w:numPr>
          <w:ilvl w:val="1"/>
          <w:numId w:val="1"/>
        </w:numPr>
        <w:tabs>
          <w:tab w:val="left" w:pos="1919"/>
          <w:tab w:val="left" w:pos="1920"/>
        </w:tabs>
        <w:spacing w:before="10"/>
        <w:ind w:left="1919" w:hanging="360"/>
        <w:jc w:val="both"/>
        <w:rPr>
          <w:lang w:val="es-419"/>
        </w:rPr>
      </w:pPr>
      <w:r>
        <w:rPr>
          <w:b/>
          <w:bCs/>
          <w:lang w:val="es"/>
        </w:rPr>
        <w:t>No</w:t>
      </w:r>
      <w:r>
        <w:rPr>
          <w:lang w:val="es"/>
        </w:rPr>
        <w:t xml:space="preserve"> se podrán incluir como referencias a miembros de su familia, amigos o empleados actuales del IB.</w:t>
      </w:r>
    </w:p>
    <w:p w14:paraId="214C3F0C" w14:textId="77777777" w:rsidR="0035058D" w:rsidRDefault="0035058D" w:rsidP="00562710">
      <w:pPr>
        <w:jc w:val="both"/>
        <w:rPr>
          <w:lang w:val="es-419"/>
        </w:rPr>
      </w:pPr>
    </w:p>
    <w:p w14:paraId="32711183" w14:textId="77777777" w:rsidR="0055573F" w:rsidRPr="00562710" w:rsidRDefault="0055573F" w:rsidP="0055573F">
      <w:pPr>
        <w:pStyle w:val="ListParagraph"/>
        <w:numPr>
          <w:ilvl w:val="0"/>
          <w:numId w:val="1"/>
        </w:numPr>
        <w:tabs>
          <w:tab w:val="left" w:pos="838"/>
        </w:tabs>
        <w:spacing w:before="4" w:line="276" w:lineRule="auto"/>
        <w:ind w:left="837" w:right="109" w:hanging="360"/>
        <w:jc w:val="both"/>
        <w:rPr>
          <w:lang w:val="es-419"/>
        </w:rPr>
      </w:pPr>
      <w:r>
        <w:rPr>
          <w:lang w:val="es"/>
        </w:rPr>
        <w:t>Los solicitantes deberán informar a estas personas que es posible que se les soliciten referencias para respaldar su solicitud. No se contratará a ningún examinador hasta que el IB haya recibido al menos dos referencias satisfactorias de las personas indicadas como tales.</w:t>
      </w:r>
    </w:p>
    <w:p w14:paraId="36B98AC2" w14:textId="77777777" w:rsidR="0055573F" w:rsidRPr="00562710" w:rsidRDefault="0055573F" w:rsidP="0055573F">
      <w:pPr>
        <w:pStyle w:val="BodyText"/>
        <w:spacing w:before="10"/>
        <w:jc w:val="both"/>
        <w:rPr>
          <w:sz w:val="23"/>
          <w:lang w:val="es-419"/>
        </w:rPr>
      </w:pPr>
    </w:p>
    <w:p w14:paraId="070D08DA" w14:textId="77777777" w:rsidR="0055573F" w:rsidRPr="00562710" w:rsidRDefault="0055573F" w:rsidP="0055573F">
      <w:pPr>
        <w:pStyle w:val="ListParagraph"/>
        <w:numPr>
          <w:ilvl w:val="0"/>
          <w:numId w:val="1"/>
        </w:numPr>
        <w:tabs>
          <w:tab w:val="left" w:pos="831"/>
        </w:tabs>
        <w:spacing w:before="0" w:line="276" w:lineRule="auto"/>
        <w:ind w:left="830" w:right="112" w:hanging="355"/>
        <w:jc w:val="both"/>
        <w:rPr>
          <w:lang w:val="es-419"/>
        </w:rPr>
      </w:pPr>
      <w:r>
        <w:rPr>
          <w:lang w:val="es"/>
        </w:rPr>
        <w:t xml:space="preserve">Los candidatos </w:t>
      </w:r>
      <w:r>
        <w:rPr>
          <w:b/>
          <w:bCs/>
          <w:lang w:val="es"/>
        </w:rPr>
        <w:t>deben</w:t>
      </w:r>
      <w:r>
        <w:rPr>
          <w:lang w:val="es"/>
        </w:rPr>
        <w:t xml:space="preserve"> tener una cuenta bancaria personal con su nombre como titular de la cuenta. El pago a los examinadores se realizará únicamente a una cuenta a su nombre. En ningún caso se podrán realizar pagos a terceras partes, es decir, cuentas a nombre de un familiar, empresa, organización o cualquier otro representante.</w:t>
      </w:r>
    </w:p>
    <w:p w14:paraId="1A19348B" w14:textId="77777777" w:rsidR="0055573F" w:rsidRPr="00562710" w:rsidRDefault="0055573F" w:rsidP="0055573F">
      <w:pPr>
        <w:pStyle w:val="BodyText"/>
        <w:spacing w:before="4"/>
        <w:jc w:val="both"/>
        <w:rPr>
          <w:sz w:val="16"/>
          <w:lang w:val="es-419"/>
        </w:rPr>
      </w:pPr>
    </w:p>
    <w:p w14:paraId="54016574" w14:textId="77777777" w:rsidR="0055573F" w:rsidRPr="00562710" w:rsidRDefault="0055573F" w:rsidP="0055573F">
      <w:pPr>
        <w:pStyle w:val="ListParagraph"/>
        <w:numPr>
          <w:ilvl w:val="0"/>
          <w:numId w:val="1"/>
        </w:numPr>
        <w:tabs>
          <w:tab w:val="left" w:pos="838"/>
        </w:tabs>
        <w:spacing w:before="0" w:line="276" w:lineRule="auto"/>
        <w:ind w:left="837" w:right="110" w:hanging="360"/>
        <w:jc w:val="both"/>
        <w:rPr>
          <w:lang w:val="es-419"/>
        </w:rPr>
      </w:pPr>
      <w:r>
        <w:rPr>
          <w:lang w:val="es"/>
        </w:rPr>
        <w:t>Los solicitantes que usen bancos establecidos en los países enumerados a continuación deben recibir pagos en su divisa local: (i) para bancos en Canadá, en dólares canadienses (CAD); (ii) para bancos en países de la eurozona, en euros (EUR); (iii) para bancos en Singapur, en dólares singapurenses (SGD); (iv) para bancos en Estados Unidos, en dólares estadounidenses (USD); (v) para bancos en Australia, en dólares australianos (AUD); (vi) para bancos en el Reino Unido, en libras esterlinas (GBP); (vii) para bancos en Suiza, en francos suizos (CHF); y (viii) para bancos en la India, en rupias indias (INR).</w:t>
      </w:r>
    </w:p>
    <w:p w14:paraId="549DEC61" w14:textId="77777777" w:rsidR="0055573F" w:rsidRPr="00562710" w:rsidRDefault="0055573F" w:rsidP="0055573F">
      <w:pPr>
        <w:pStyle w:val="BodyText"/>
        <w:spacing w:before="4"/>
        <w:jc w:val="both"/>
        <w:rPr>
          <w:sz w:val="16"/>
          <w:lang w:val="es-419"/>
        </w:rPr>
      </w:pPr>
    </w:p>
    <w:p w14:paraId="49822BE4" w14:textId="77777777" w:rsidR="0055573F" w:rsidRPr="00562710" w:rsidRDefault="0055573F" w:rsidP="0055573F">
      <w:pPr>
        <w:pStyle w:val="Heading1"/>
        <w:numPr>
          <w:ilvl w:val="0"/>
          <w:numId w:val="2"/>
        </w:numPr>
        <w:tabs>
          <w:tab w:val="left" w:pos="476"/>
        </w:tabs>
        <w:spacing w:before="45"/>
        <w:ind w:left="475" w:hanging="358"/>
        <w:jc w:val="both"/>
        <w:rPr>
          <w:sz w:val="22"/>
          <w:szCs w:val="22"/>
          <w:lang w:val="es-419"/>
        </w:rPr>
      </w:pPr>
      <w:r>
        <w:rPr>
          <w:b/>
          <w:bCs/>
          <w:sz w:val="22"/>
          <w:szCs w:val="22"/>
          <w:lang w:val="es"/>
        </w:rPr>
        <w:t>Los solicitantes deben declarar todos los potenciales conflictos de intereses.</w:t>
      </w:r>
      <w:r>
        <w:rPr>
          <w:sz w:val="22"/>
          <w:szCs w:val="22"/>
          <w:lang w:val="es"/>
        </w:rPr>
        <w:t xml:space="preserve"> Consulte la</w:t>
      </w:r>
      <w:r>
        <w:rPr>
          <w:color w:val="0562C1"/>
          <w:sz w:val="22"/>
          <w:szCs w:val="22"/>
          <w:lang w:val="es"/>
        </w:rPr>
        <w:t xml:space="preserve"> </w:t>
      </w:r>
      <w:hyperlink r:id="rId12" w:anchor=":~:text=A%20conflict%20of%20interest%20occurs,actual%20benefit%2C%20financial%20or%20otherwise." w:history="1">
        <w:r>
          <w:rPr>
            <w:rStyle w:val="Hyperlink"/>
            <w:sz w:val="22"/>
            <w:szCs w:val="22"/>
            <w:lang w:val="es"/>
          </w:rPr>
          <w:t>política para educadores del IB sobre conflictos de intereses relacionados con la evaluación</w:t>
        </w:r>
      </w:hyperlink>
      <w:r>
        <w:rPr>
          <w:lang w:val="es"/>
        </w:rPr>
        <w:t>.</w:t>
      </w:r>
    </w:p>
    <w:p w14:paraId="09BF19FB" w14:textId="77777777" w:rsidR="0055573F" w:rsidRDefault="0055573F" w:rsidP="00562710">
      <w:pPr>
        <w:jc w:val="both"/>
        <w:rPr>
          <w:lang w:val="es-419"/>
        </w:rPr>
      </w:pPr>
    </w:p>
    <w:p w14:paraId="142C7975" w14:textId="77777777" w:rsidR="0055573F" w:rsidRPr="00932B02" w:rsidRDefault="0055573F" w:rsidP="0055573F">
      <w:pPr>
        <w:pStyle w:val="Heading1"/>
        <w:numPr>
          <w:ilvl w:val="0"/>
          <w:numId w:val="2"/>
        </w:numPr>
        <w:tabs>
          <w:tab w:val="left" w:pos="476"/>
        </w:tabs>
        <w:spacing w:before="45"/>
        <w:ind w:left="475" w:hanging="358"/>
        <w:jc w:val="both"/>
        <w:rPr>
          <w:sz w:val="22"/>
          <w:szCs w:val="22"/>
        </w:rPr>
      </w:pPr>
      <w:r>
        <w:rPr>
          <w:sz w:val="22"/>
          <w:szCs w:val="22"/>
          <w:lang w:val="es"/>
        </w:rPr>
        <w:t>Cualificaciones y experiencia deseables</w:t>
      </w:r>
    </w:p>
    <w:p w14:paraId="093C2811" w14:textId="77777777" w:rsidR="0055573F" w:rsidRPr="00562710" w:rsidRDefault="0055573F" w:rsidP="0055573F">
      <w:pPr>
        <w:pStyle w:val="BodyText"/>
        <w:spacing w:before="188" w:line="259" w:lineRule="auto"/>
        <w:ind w:left="465"/>
        <w:jc w:val="both"/>
        <w:rPr>
          <w:lang w:val="es-419"/>
        </w:rPr>
      </w:pPr>
      <w:r>
        <w:rPr>
          <w:lang w:val="es"/>
        </w:rPr>
        <w:t>La lista siguiente ofrece información sobre las cualificaciones y la experiencia deseables en los solicitantes del puesto de examinador del IB.</w:t>
      </w:r>
    </w:p>
    <w:p w14:paraId="63D9CE3E" w14:textId="77777777" w:rsidR="0055573F" w:rsidRPr="00562710" w:rsidRDefault="0055573F" w:rsidP="0055573F">
      <w:pPr>
        <w:pStyle w:val="ListParagraph"/>
        <w:numPr>
          <w:ilvl w:val="1"/>
          <w:numId w:val="2"/>
        </w:numPr>
        <w:tabs>
          <w:tab w:val="left" w:pos="830"/>
          <w:tab w:val="left" w:pos="831"/>
        </w:tabs>
        <w:spacing w:before="118"/>
        <w:ind w:left="830" w:hanging="355"/>
        <w:jc w:val="both"/>
        <w:rPr>
          <w:lang w:val="es-419"/>
        </w:rPr>
      </w:pPr>
      <w:r>
        <w:rPr>
          <w:lang w:val="es"/>
        </w:rPr>
        <w:t>Experiencia en la enseñanza del PAI, el PD o el POP</w:t>
      </w:r>
    </w:p>
    <w:p w14:paraId="35CA17F6" w14:textId="77777777" w:rsidR="0055573F" w:rsidRPr="00562710" w:rsidRDefault="0055573F" w:rsidP="0055573F">
      <w:pPr>
        <w:pStyle w:val="ListParagraph"/>
        <w:numPr>
          <w:ilvl w:val="1"/>
          <w:numId w:val="2"/>
        </w:numPr>
        <w:tabs>
          <w:tab w:val="left" w:pos="830"/>
          <w:tab w:val="left" w:pos="831"/>
        </w:tabs>
        <w:spacing w:before="162"/>
        <w:ind w:left="830" w:hanging="355"/>
        <w:jc w:val="both"/>
        <w:rPr>
          <w:lang w:val="es-419"/>
        </w:rPr>
      </w:pPr>
      <w:r>
        <w:rPr>
          <w:lang w:val="es"/>
        </w:rPr>
        <w:t>Experiencia en la enseñanza a alumnos de nivel preuniversitario (para los solicitantes al puesto de examinador del PD o el POP)</w:t>
      </w:r>
    </w:p>
    <w:p w14:paraId="5AFD3156" w14:textId="2B808645" w:rsidR="0055573F" w:rsidRPr="0055573F" w:rsidRDefault="0055573F" w:rsidP="00562710">
      <w:pPr>
        <w:pStyle w:val="ListParagraph"/>
        <w:numPr>
          <w:ilvl w:val="1"/>
          <w:numId w:val="2"/>
        </w:numPr>
        <w:tabs>
          <w:tab w:val="left" w:pos="830"/>
          <w:tab w:val="left" w:pos="831"/>
        </w:tabs>
        <w:spacing w:before="159"/>
        <w:ind w:left="830" w:hanging="355"/>
        <w:jc w:val="both"/>
      </w:pPr>
      <w:r>
        <w:rPr>
          <w:lang w:val="es"/>
        </w:rPr>
        <w:t>Experiencia previa como examinador</w:t>
      </w:r>
    </w:p>
    <w:p w14:paraId="66904C05" w14:textId="1E7AC261" w:rsidR="0055573F" w:rsidRPr="0055573F" w:rsidRDefault="0055573F" w:rsidP="0055573F">
      <w:pPr>
        <w:pStyle w:val="ListParagraph"/>
        <w:numPr>
          <w:ilvl w:val="1"/>
          <w:numId w:val="2"/>
        </w:numPr>
        <w:tabs>
          <w:tab w:val="left" w:pos="830"/>
          <w:tab w:val="left" w:pos="831"/>
        </w:tabs>
        <w:spacing w:before="161"/>
        <w:ind w:left="830" w:hanging="355"/>
        <w:jc w:val="both"/>
        <w:rPr>
          <w:lang w:val="es-419"/>
        </w:rPr>
      </w:pPr>
      <w:r>
        <w:rPr>
          <w:lang w:val="es"/>
        </w:rPr>
        <w:t>Capacidad para leer documentos, redactar informes y corregir trabajos de alumnos en las siguientes lenguas.</w:t>
      </w:r>
    </w:p>
    <w:p w14:paraId="667FB583" w14:textId="02878DA6" w:rsidR="0055573F" w:rsidRDefault="0055573F" w:rsidP="0055573F">
      <w:pPr>
        <w:tabs>
          <w:tab w:val="left" w:pos="830"/>
          <w:tab w:val="left" w:pos="831"/>
        </w:tabs>
        <w:spacing w:before="161"/>
        <w:jc w:val="both"/>
        <w:rPr>
          <w:lang w:val="es-419"/>
        </w:rPr>
      </w:pPr>
    </w:p>
    <w:p w14:paraId="2551D4A6" w14:textId="4F57B8C0" w:rsidR="0055573F" w:rsidRDefault="0055573F" w:rsidP="0055573F">
      <w:pPr>
        <w:tabs>
          <w:tab w:val="left" w:pos="830"/>
          <w:tab w:val="left" w:pos="831"/>
        </w:tabs>
        <w:spacing w:before="161"/>
        <w:jc w:val="both"/>
        <w:rPr>
          <w:lang w:val="es-419"/>
        </w:rPr>
      </w:pPr>
    </w:p>
    <w:p w14:paraId="7357836D" w14:textId="7F59D917" w:rsidR="0055573F" w:rsidRDefault="0055573F" w:rsidP="0055573F">
      <w:pPr>
        <w:tabs>
          <w:tab w:val="left" w:pos="830"/>
          <w:tab w:val="left" w:pos="831"/>
        </w:tabs>
        <w:spacing w:before="161"/>
        <w:jc w:val="both"/>
        <w:rPr>
          <w:lang w:val="es-419"/>
        </w:rPr>
      </w:pPr>
    </w:p>
    <w:p w14:paraId="34EA4829" w14:textId="1ADF09AA" w:rsidR="0055573F" w:rsidRDefault="0055573F" w:rsidP="0055573F">
      <w:pPr>
        <w:tabs>
          <w:tab w:val="left" w:pos="830"/>
          <w:tab w:val="left" w:pos="831"/>
        </w:tabs>
        <w:spacing w:before="161"/>
        <w:jc w:val="both"/>
        <w:rPr>
          <w:lang w:val="es-419"/>
        </w:rPr>
      </w:pPr>
    </w:p>
    <w:p w14:paraId="79827E25" w14:textId="1E2E44E9" w:rsidR="0055573F" w:rsidRDefault="0055573F" w:rsidP="0055573F">
      <w:pPr>
        <w:tabs>
          <w:tab w:val="left" w:pos="830"/>
          <w:tab w:val="left" w:pos="831"/>
        </w:tabs>
        <w:spacing w:before="161"/>
        <w:jc w:val="both"/>
        <w:rPr>
          <w:lang w:val="es-419"/>
        </w:rPr>
      </w:pPr>
    </w:p>
    <w:p w14:paraId="70164EAC" w14:textId="22D506E2" w:rsidR="0055573F" w:rsidRDefault="0055573F" w:rsidP="0055573F">
      <w:pPr>
        <w:tabs>
          <w:tab w:val="left" w:pos="830"/>
          <w:tab w:val="left" w:pos="831"/>
        </w:tabs>
        <w:spacing w:before="161"/>
        <w:jc w:val="both"/>
        <w:rPr>
          <w:lang w:val="es-419"/>
        </w:rPr>
      </w:pPr>
    </w:p>
    <w:p w14:paraId="6175E33E" w14:textId="77777777" w:rsidR="0055573F" w:rsidRPr="0055573F" w:rsidRDefault="0055573F" w:rsidP="0055573F">
      <w:pPr>
        <w:tabs>
          <w:tab w:val="left" w:pos="830"/>
          <w:tab w:val="left" w:pos="831"/>
        </w:tabs>
        <w:spacing w:before="161"/>
        <w:jc w:val="both"/>
        <w:rPr>
          <w:lang w:val="es-419"/>
        </w:rPr>
      </w:pPr>
    </w:p>
    <w:p w14:paraId="48C13EF2" w14:textId="77777777" w:rsidR="0055573F" w:rsidRPr="00562710" w:rsidRDefault="0055573F" w:rsidP="0055573F">
      <w:pPr>
        <w:pStyle w:val="BodyText"/>
        <w:spacing w:before="7"/>
        <w:jc w:val="both"/>
        <w:rPr>
          <w:sz w:val="16"/>
          <w:lang w:val="es-419"/>
        </w:rPr>
      </w:pPr>
    </w:p>
    <w:tbl>
      <w:tblPr>
        <w:tblW w:w="0" w:type="auto"/>
        <w:tblInd w:w="1465" w:type="dxa"/>
        <w:tblLayout w:type="fixed"/>
        <w:tblCellMar>
          <w:left w:w="0" w:type="dxa"/>
          <w:right w:w="0" w:type="dxa"/>
        </w:tblCellMar>
        <w:tblLook w:val="01E0" w:firstRow="1" w:lastRow="1" w:firstColumn="1" w:lastColumn="1" w:noHBand="0" w:noVBand="0"/>
      </w:tblPr>
      <w:tblGrid>
        <w:gridCol w:w="1593"/>
        <w:gridCol w:w="1982"/>
      </w:tblGrid>
      <w:tr w:rsidR="0055573F" w14:paraId="664D6106" w14:textId="77777777" w:rsidTr="00465227">
        <w:trPr>
          <w:trHeight w:val="244"/>
        </w:trPr>
        <w:tc>
          <w:tcPr>
            <w:tcW w:w="1593" w:type="dxa"/>
          </w:tcPr>
          <w:p w14:paraId="3898AFAB" w14:textId="77777777" w:rsidR="0055573F" w:rsidRDefault="0055573F" w:rsidP="00465227">
            <w:pPr>
              <w:pStyle w:val="TableParagraph"/>
              <w:spacing w:line="225" w:lineRule="exact"/>
              <w:jc w:val="both"/>
              <w:rPr>
                <w:b/>
              </w:rPr>
            </w:pPr>
            <w:r>
              <w:rPr>
                <w:b/>
                <w:bCs/>
                <w:lang w:val="es"/>
              </w:rPr>
              <w:lastRenderedPageBreak/>
              <w:t>PD/POP</w:t>
            </w:r>
          </w:p>
        </w:tc>
        <w:tc>
          <w:tcPr>
            <w:tcW w:w="1982" w:type="dxa"/>
          </w:tcPr>
          <w:p w14:paraId="54980039" w14:textId="77777777" w:rsidR="0055573F" w:rsidRDefault="0055573F" w:rsidP="00465227">
            <w:pPr>
              <w:pStyle w:val="TableParagraph"/>
              <w:spacing w:line="225" w:lineRule="exact"/>
              <w:ind w:left="575"/>
              <w:jc w:val="both"/>
              <w:rPr>
                <w:b/>
              </w:rPr>
            </w:pPr>
            <w:r>
              <w:rPr>
                <w:b/>
                <w:bCs/>
                <w:lang w:val="es"/>
              </w:rPr>
              <w:t>PAI</w:t>
            </w:r>
          </w:p>
        </w:tc>
      </w:tr>
      <w:tr w:rsidR="0055573F" w14:paraId="0A6FE182" w14:textId="77777777" w:rsidTr="00465227">
        <w:trPr>
          <w:trHeight w:val="4005"/>
        </w:trPr>
        <w:tc>
          <w:tcPr>
            <w:tcW w:w="1593" w:type="dxa"/>
          </w:tcPr>
          <w:p w14:paraId="4190069C" w14:textId="77777777" w:rsidR="0055573F" w:rsidRPr="00562710" w:rsidRDefault="0055573F" w:rsidP="00465227">
            <w:pPr>
              <w:pStyle w:val="TableParagraph"/>
              <w:spacing w:line="249" w:lineRule="exact"/>
              <w:jc w:val="both"/>
              <w:rPr>
                <w:lang w:val="es-419"/>
              </w:rPr>
            </w:pPr>
            <w:r>
              <w:rPr>
                <w:lang w:val="es"/>
              </w:rPr>
              <w:t>Inglés</w:t>
            </w:r>
          </w:p>
          <w:p w14:paraId="4D5A69EF" w14:textId="77777777" w:rsidR="0055573F" w:rsidRPr="00562710" w:rsidRDefault="0055573F" w:rsidP="00465227">
            <w:pPr>
              <w:pStyle w:val="TableParagraph"/>
              <w:ind w:right="555"/>
              <w:jc w:val="both"/>
              <w:rPr>
                <w:lang w:val="es-419"/>
              </w:rPr>
            </w:pPr>
            <w:r>
              <w:rPr>
                <w:lang w:val="es"/>
              </w:rPr>
              <w:t>Español Francés Alemán Chino Japonés</w:t>
            </w:r>
          </w:p>
          <w:p w14:paraId="209ED8CF" w14:textId="77777777" w:rsidR="0055573F" w:rsidRDefault="0055573F" w:rsidP="00465227">
            <w:pPr>
              <w:pStyle w:val="TableParagraph"/>
              <w:ind w:right="555"/>
              <w:jc w:val="both"/>
            </w:pPr>
            <w:r>
              <w:rPr>
                <w:lang w:val="es"/>
              </w:rPr>
              <w:t>Coreano</w:t>
            </w:r>
          </w:p>
        </w:tc>
        <w:tc>
          <w:tcPr>
            <w:tcW w:w="1982" w:type="dxa"/>
          </w:tcPr>
          <w:p w14:paraId="08F02EA8" w14:textId="77777777" w:rsidR="0055573F" w:rsidRPr="00562710" w:rsidRDefault="0055573F" w:rsidP="00465227">
            <w:pPr>
              <w:pStyle w:val="TableParagraph"/>
              <w:spacing w:line="249" w:lineRule="exact"/>
              <w:ind w:left="575"/>
              <w:jc w:val="both"/>
              <w:rPr>
                <w:lang w:val="es-419"/>
              </w:rPr>
            </w:pPr>
            <w:r>
              <w:rPr>
                <w:lang w:val="es"/>
              </w:rPr>
              <w:t>Inglés</w:t>
            </w:r>
          </w:p>
          <w:p w14:paraId="013A9204" w14:textId="77777777" w:rsidR="0055573F" w:rsidRPr="00562710" w:rsidRDefault="0055573F" w:rsidP="00465227">
            <w:pPr>
              <w:pStyle w:val="TableParagraph"/>
              <w:ind w:left="574" w:right="351"/>
              <w:jc w:val="both"/>
              <w:rPr>
                <w:lang w:val="es-419"/>
              </w:rPr>
            </w:pPr>
            <w:r>
              <w:rPr>
                <w:lang w:val="es"/>
              </w:rPr>
              <w:t>Español Francés Árabe Catalán Chino Danés Neerlandés Finés Alemán Griego Japonés Kazajo Coreano</w:t>
            </w:r>
          </w:p>
          <w:p w14:paraId="3F0052A9" w14:textId="77777777" w:rsidR="0055573F" w:rsidRDefault="0055573F" w:rsidP="00465227">
            <w:pPr>
              <w:pStyle w:val="TableParagraph"/>
              <w:spacing w:before="1" w:line="245" w:lineRule="exact"/>
              <w:ind w:left="575"/>
              <w:jc w:val="both"/>
            </w:pPr>
            <w:r>
              <w:rPr>
                <w:lang w:val="es"/>
              </w:rPr>
              <w:t>Noruego</w:t>
            </w:r>
          </w:p>
        </w:tc>
      </w:tr>
    </w:tbl>
    <w:p w14:paraId="5AE572E1" w14:textId="77777777" w:rsidR="0055573F" w:rsidRDefault="0055573F" w:rsidP="00562710">
      <w:pPr>
        <w:jc w:val="both"/>
        <w:rPr>
          <w:lang w:val="es-419"/>
        </w:rPr>
      </w:pPr>
    </w:p>
    <w:p w14:paraId="7FC324CD" w14:textId="77777777" w:rsidR="0055573F" w:rsidRDefault="0055573F" w:rsidP="0055573F">
      <w:pPr>
        <w:pStyle w:val="Heading1"/>
        <w:numPr>
          <w:ilvl w:val="0"/>
          <w:numId w:val="2"/>
        </w:numPr>
        <w:tabs>
          <w:tab w:val="left" w:pos="476"/>
        </w:tabs>
        <w:ind w:left="475" w:hanging="358"/>
        <w:jc w:val="both"/>
      </w:pPr>
      <w:r>
        <w:rPr>
          <w:lang w:val="es"/>
        </w:rPr>
        <w:t>Principios de selección</w:t>
      </w:r>
    </w:p>
    <w:p w14:paraId="7C67BB23" w14:textId="77777777" w:rsidR="0055573F" w:rsidRPr="00562710" w:rsidRDefault="0055573F" w:rsidP="0055573F">
      <w:pPr>
        <w:pStyle w:val="BodyText"/>
        <w:spacing w:before="185"/>
        <w:ind w:left="477" w:right="291"/>
        <w:jc w:val="both"/>
        <w:rPr>
          <w:lang w:val="es-419"/>
        </w:rPr>
      </w:pPr>
      <w:r>
        <w:rPr>
          <w:lang w:val="es"/>
        </w:rPr>
        <w:t>Si el solicitante cumple con los requisitos enumerados anteriormente, se tomará en cuenta su solicitud para actuar como examinador para el PD, el POP o el PAI. No obstante, el IB se reserva el derecho de hacer una valoración global de cada solicitud.</w:t>
      </w:r>
    </w:p>
    <w:p w14:paraId="328338DC" w14:textId="77777777" w:rsidR="0055573F" w:rsidRPr="00562710" w:rsidRDefault="0055573F" w:rsidP="0055573F">
      <w:pPr>
        <w:pStyle w:val="BodyText"/>
        <w:spacing w:before="10"/>
        <w:jc w:val="both"/>
        <w:rPr>
          <w:sz w:val="23"/>
          <w:lang w:val="es-419"/>
        </w:rPr>
      </w:pPr>
    </w:p>
    <w:p w14:paraId="6F290F3C" w14:textId="60E56CC1" w:rsidR="0055573F" w:rsidRDefault="0055573F" w:rsidP="0055573F">
      <w:pPr>
        <w:pStyle w:val="BodyText"/>
        <w:spacing w:line="259" w:lineRule="auto"/>
        <w:ind w:left="477" w:right="112"/>
        <w:jc w:val="both"/>
        <w:rPr>
          <w:lang w:val="es"/>
        </w:rPr>
      </w:pPr>
      <w:r>
        <w:rPr>
          <w:lang w:val="es"/>
        </w:rPr>
        <w:t>Debido a la naturaleza del modelo de evaluación de ciertos componentes de algunas asignaturas, es posible que se pida a los examinadores que corrigen en otras lenguas que también puntúen respuestas en inglés. Por este motivo, podremos exigir que los solicitantes para dichas asignaturas sean bilingües y esto podrá tomarse en cuenta en el proceso de selección o tras el nombramiento.</w:t>
      </w:r>
    </w:p>
    <w:p w14:paraId="5C8A24DE" w14:textId="3AB5430C" w:rsidR="004A7AF5" w:rsidRDefault="004A7AF5" w:rsidP="0055573F">
      <w:pPr>
        <w:pStyle w:val="BodyText"/>
        <w:spacing w:line="259" w:lineRule="auto"/>
        <w:ind w:left="477" w:right="112"/>
        <w:jc w:val="both"/>
        <w:rPr>
          <w:lang w:val="es"/>
        </w:rPr>
      </w:pPr>
    </w:p>
    <w:p w14:paraId="56D9FA80" w14:textId="7295CA95" w:rsidR="004A7AF5" w:rsidRPr="00562710" w:rsidRDefault="004A7AF5" w:rsidP="0055573F">
      <w:pPr>
        <w:pStyle w:val="BodyText"/>
        <w:spacing w:line="259" w:lineRule="auto"/>
        <w:ind w:left="477" w:right="112"/>
        <w:jc w:val="both"/>
        <w:rPr>
          <w:lang w:val="es-419"/>
        </w:rPr>
      </w:pPr>
      <w:r w:rsidRPr="004A7AF5">
        <w:rPr>
          <w:lang w:val="es-419"/>
        </w:rPr>
        <w:t>En caso de ser confirmados para el rol, los candidatos deben renunciar obligatoriamente a cualquier puesto que desempeñen en el servicio de Creación de un currículo de calidad.</w:t>
      </w:r>
    </w:p>
    <w:p w14:paraId="153A5D4C" w14:textId="77777777" w:rsidR="0055573F" w:rsidRPr="00562710" w:rsidRDefault="0055573F" w:rsidP="0055573F">
      <w:pPr>
        <w:pStyle w:val="BodyText"/>
        <w:spacing w:before="9"/>
        <w:jc w:val="both"/>
        <w:rPr>
          <w:sz w:val="23"/>
          <w:lang w:val="es-419"/>
        </w:rPr>
      </w:pPr>
    </w:p>
    <w:p w14:paraId="7B19E0AE" w14:textId="77777777" w:rsidR="0055573F" w:rsidRPr="00562710" w:rsidRDefault="0055573F" w:rsidP="0055573F">
      <w:pPr>
        <w:pStyle w:val="BodyText"/>
        <w:spacing w:line="259" w:lineRule="auto"/>
        <w:ind w:left="477" w:right="110"/>
        <w:jc w:val="both"/>
        <w:rPr>
          <w:lang w:val="es-419"/>
        </w:rPr>
      </w:pPr>
      <w:r>
        <w:rPr>
          <w:lang w:val="es"/>
        </w:rPr>
        <w:t>Los examinadores del PD o el POP seleccionados se nombrarán para una asignatura y dos componentes cuando los períodos de corrección de dos componentes no coincidan, o cuando la naturaleza de la evaluación de la asignatura requiera que un examinador evalúe más de un componente.</w:t>
      </w:r>
    </w:p>
    <w:p w14:paraId="2ACD7CA2" w14:textId="77777777" w:rsidR="0055573F" w:rsidRPr="00562710" w:rsidRDefault="0055573F" w:rsidP="0055573F">
      <w:pPr>
        <w:pStyle w:val="BodyText"/>
        <w:spacing w:before="9"/>
        <w:jc w:val="both"/>
        <w:rPr>
          <w:sz w:val="23"/>
          <w:lang w:val="es-419"/>
        </w:rPr>
      </w:pPr>
    </w:p>
    <w:p w14:paraId="28330B6D" w14:textId="77777777" w:rsidR="0055573F" w:rsidRPr="00562710" w:rsidRDefault="0055573F" w:rsidP="0055573F">
      <w:pPr>
        <w:pStyle w:val="BodyText"/>
        <w:spacing w:line="259" w:lineRule="auto"/>
        <w:ind w:left="477" w:right="110"/>
        <w:jc w:val="both"/>
        <w:rPr>
          <w:lang w:val="es-419"/>
        </w:rPr>
      </w:pPr>
      <w:r>
        <w:rPr>
          <w:lang w:val="es"/>
        </w:rPr>
        <w:t xml:space="preserve">Los examinadores del PAI seleccionados se nombrarán para un componente inicial y un componente posterior. Un componente inicial puede ser la carpeta electrónica de una asignatura </w:t>
      </w:r>
      <w:r>
        <w:rPr>
          <w:b/>
          <w:bCs/>
          <w:lang w:val="es"/>
        </w:rPr>
        <w:t xml:space="preserve">o </w:t>
      </w:r>
      <w:r>
        <w:rPr>
          <w:lang w:val="es"/>
        </w:rPr>
        <w:t xml:space="preserve">el Proyecto Personal. Un componente posterior puede ser interdisciplinario </w:t>
      </w:r>
      <w:r>
        <w:rPr>
          <w:b/>
          <w:bCs/>
          <w:lang w:val="es"/>
        </w:rPr>
        <w:t xml:space="preserve">o </w:t>
      </w:r>
      <w:r>
        <w:rPr>
          <w:lang w:val="es"/>
        </w:rPr>
        <w:t xml:space="preserve">el examen en línea de una asignatura. Para que se tenga en cuenta su solicitud para corregir el Proyecto Personal, el solicitante </w:t>
      </w:r>
      <w:r>
        <w:rPr>
          <w:b/>
          <w:bCs/>
          <w:lang w:val="es"/>
        </w:rPr>
        <w:t>debe</w:t>
      </w:r>
      <w:r>
        <w:rPr>
          <w:lang w:val="es"/>
        </w:rPr>
        <w:t xml:space="preserve"> enseñar en un colegio que imparta el PAI.</w:t>
      </w:r>
    </w:p>
    <w:p w14:paraId="494A0D65" w14:textId="77777777" w:rsidR="0055573F" w:rsidRPr="00562710" w:rsidRDefault="0055573F" w:rsidP="0055573F">
      <w:pPr>
        <w:pStyle w:val="BodyText"/>
        <w:spacing w:before="6"/>
        <w:jc w:val="both"/>
        <w:rPr>
          <w:sz w:val="23"/>
          <w:lang w:val="es-419"/>
        </w:rPr>
      </w:pPr>
    </w:p>
    <w:p w14:paraId="38F0A965" w14:textId="77777777" w:rsidR="0055573F" w:rsidRPr="00562710" w:rsidRDefault="0055573F" w:rsidP="0055573F">
      <w:pPr>
        <w:ind w:left="477"/>
        <w:jc w:val="both"/>
        <w:rPr>
          <w:lang w:val="es-419"/>
        </w:rPr>
      </w:pPr>
      <w:r>
        <w:rPr>
          <w:lang w:val="es"/>
        </w:rPr>
        <w:t>La cantidad de trabajo que se ofrezca a los candidatos seleccionados dependerá de las conexiones con los Colegios del Mundo del IB y de los requisitos actuales del IB para los examinadores.</w:t>
      </w:r>
    </w:p>
    <w:p w14:paraId="039F4908" w14:textId="77777777" w:rsidR="0055573F" w:rsidRPr="00562710" w:rsidRDefault="0055573F" w:rsidP="0055573F">
      <w:pPr>
        <w:pStyle w:val="BodyText"/>
        <w:spacing w:before="7"/>
        <w:jc w:val="both"/>
        <w:rPr>
          <w:sz w:val="25"/>
          <w:lang w:val="es-419"/>
        </w:rPr>
      </w:pPr>
    </w:p>
    <w:p w14:paraId="10C17A5F" w14:textId="77777777" w:rsidR="0055573F" w:rsidRPr="00562710" w:rsidRDefault="0055573F" w:rsidP="0055573F">
      <w:pPr>
        <w:pStyle w:val="BodyText"/>
        <w:spacing w:line="259" w:lineRule="auto"/>
        <w:ind w:left="477" w:right="113"/>
        <w:jc w:val="both"/>
        <w:rPr>
          <w:lang w:val="es-419"/>
        </w:rPr>
      </w:pPr>
      <w:r>
        <w:rPr>
          <w:lang w:val="es"/>
        </w:rPr>
        <w:t>Cuando una asignatura tenga un número bajo de alumnos matriculados en la evaluación, los examinadores deben ser independientes de todos los colegios que hayan matriculado alumnos para dicha asignatura. Por lo tanto, puede que no sea posible nombrar examinadores para esa asignatura si tienen conflictos de intereses.</w:t>
      </w:r>
    </w:p>
    <w:p w14:paraId="69804668" w14:textId="77777777" w:rsidR="0055573F" w:rsidRPr="00562710" w:rsidRDefault="0055573F" w:rsidP="0055573F">
      <w:pPr>
        <w:pStyle w:val="NormalWeb"/>
        <w:ind w:left="477"/>
        <w:jc w:val="both"/>
        <w:rPr>
          <w:rFonts w:ascii="Calibri" w:hAnsi="Calibri" w:cs="Calibri"/>
          <w:sz w:val="22"/>
          <w:szCs w:val="22"/>
          <w:lang w:val="es-419"/>
        </w:rPr>
      </w:pPr>
      <w:r>
        <w:rPr>
          <w:rFonts w:ascii="Calibri" w:hAnsi="Calibri" w:cs="Calibri"/>
          <w:sz w:val="22"/>
          <w:szCs w:val="22"/>
          <w:lang w:val="es"/>
        </w:rPr>
        <w:lastRenderedPageBreak/>
        <w:t>A fin de garantizar la coherencia de los estándares de corrección, es posible que se solicite a los examinadores que corrijan las respuestas en la lengua en la que se estableció el modelo de calidad para un componente (generalmente inglés). Por lo tanto, los solicitantes de estas asignaturas deben ser bilingües, según lo indicado en el puesto vacante publicado en el sitio web del IB (</w:t>
      </w:r>
      <w:hyperlink r:id="rId13" w:history="1">
        <w:r>
          <w:rPr>
            <w:rStyle w:val="Hyperlink"/>
            <w:rFonts w:ascii="Calibri" w:hAnsi="Calibri" w:cs="Calibri"/>
            <w:sz w:val="22"/>
            <w:szCs w:val="22"/>
            <w:lang w:val="es"/>
          </w:rPr>
          <w:t>https://www.ibo.org/es/jobs-and-careers/become-an-assessment-ib-educator/become-an-ib-examiner/</w:t>
        </w:r>
      </w:hyperlink>
      <w:r>
        <w:rPr>
          <w:rFonts w:ascii="Calibri" w:hAnsi="Calibri" w:cs="Calibri"/>
          <w:sz w:val="22"/>
          <w:szCs w:val="22"/>
          <w:lang w:val="es"/>
        </w:rPr>
        <w:t>). Este requisito debe tenerse en cuenta durante el proceso de selección y tras el nombramiento.</w:t>
      </w:r>
    </w:p>
    <w:p w14:paraId="7919F0F3" w14:textId="31F90822" w:rsidR="0055573F" w:rsidRPr="00562710" w:rsidRDefault="0055573F" w:rsidP="0055573F">
      <w:pPr>
        <w:pStyle w:val="NormalWeb"/>
        <w:ind w:left="477"/>
        <w:jc w:val="both"/>
        <w:rPr>
          <w:rFonts w:ascii="Calibri" w:hAnsi="Calibri" w:cs="Calibri"/>
          <w:sz w:val="22"/>
          <w:szCs w:val="22"/>
          <w:lang w:val="es-419"/>
        </w:rPr>
      </w:pPr>
      <w:r>
        <w:rPr>
          <w:rFonts w:ascii="Calibri" w:hAnsi="Calibri" w:cs="Calibri"/>
          <w:sz w:val="22"/>
          <w:szCs w:val="22"/>
          <w:lang w:val="es"/>
        </w:rPr>
        <w:t xml:space="preserve">Los solicitantes de la mayoría de las asignaturas que quieran evaluar a los alumnos en una lengua distinta a su lengua materna deben poder demostrar un </w:t>
      </w:r>
      <w:r>
        <w:rPr>
          <w:rFonts w:ascii="Calibri" w:hAnsi="Calibri" w:cs="Calibri"/>
          <w:b/>
          <w:bCs/>
          <w:sz w:val="22"/>
          <w:szCs w:val="22"/>
          <w:lang w:val="es"/>
        </w:rPr>
        <w:t>nivel avanzado</w:t>
      </w:r>
      <w:r>
        <w:rPr>
          <w:rFonts w:ascii="Calibri" w:hAnsi="Calibri" w:cs="Calibri"/>
          <w:sz w:val="22"/>
          <w:szCs w:val="22"/>
          <w:lang w:val="es"/>
        </w:rPr>
        <w:t xml:space="preserve"> de competencia en la lengua de respuesta (</w:t>
      </w:r>
      <w:hyperlink r:id="rId14" w:history="1">
        <w:r>
          <w:rPr>
            <w:rStyle w:val="Hyperlink"/>
            <w:rFonts w:ascii="Calibri" w:hAnsi="Calibri" w:cs="Calibri"/>
            <w:sz w:val="22"/>
            <w:szCs w:val="22"/>
            <w:lang w:val="es"/>
          </w:rPr>
          <w:t>nivel C1 del Marco común europeo de referencia para las lenguas</w:t>
        </w:r>
      </w:hyperlink>
      <w:r>
        <w:rPr>
          <w:rFonts w:ascii="Calibri" w:hAnsi="Calibri" w:cs="Calibri"/>
          <w:sz w:val="22"/>
          <w:szCs w:val="22"/>
          <w:lang w:val="es"/>
        </w:rPr>
        <w:t>) para poder evaluar el trabajo de los alumnos y redactar informes.</w:t>
      </w:r>
    </w:p>
    <w:p w14:paraId="733D8D11" w14:textId="531DDCE1" w:rsidR="0055573F" w:rsidRPr="00562710" w:rsidRDefault="0055573F" w:rsidP="0055573F">
      <w:pPr>
        <w:pStyle w:val="NormalWeb"/>
        <w:ind w:left="477"/>
        <w:jc w:val="both"/>
        <w:rPr>
          <w:rFonts w:ascii="Calibri" w:hAnsi="Calibri" w:cs="Calibri"/>
          <w:sz w:val="22"/>
          <w:szCs w:val="22"/>
          <w:lang w:val="es-419"/>
        </w:rPr>
      </w:pPr>
      <w:r>
        <w:rPr>
          <w:rFonts w:ascii="Calibri" w:hAnsi="Calibri" w:cs="Calibri"/>
          <w:sz w:val="22"/>
          <w:szCs w:val="22"/>
          <w:lang w:val="es"/>
        </w:rPr>
        <w:t xml:space="preserve">Los solicitantes para Ciencias y Matemáticas que usen con confianza la lengua de respuesta pueden ser aceptados en el </w:t>
      </w:r>
      <w:r>
        <w:rPr>
          <w:rFonts w:ascii="Calibri" w:hAnsi="Calibri" w:cs="Calibri"/>
          <w:b/>
          <w:bCs/>
          <w:sz w:val="22"/>
          <w:szCs w:val="22"/>
          <w:lang w:val="es"/>
        </w:rPr>
        <w:t>nivel intermedio superior</w:t>
      </w:r>
      <w:r>
        <w:rPr>
          <w:rFonts w:ascii="Calibri" w:hAnsi="Calibri" w:cs="Calibri"/>
          <w:sz w:val="22"/>
          <w:szCs w:val="22"/>
          <w:lang w:val="es"/>
        </w:rPr>
        <w:t xml:space="preserve"> (</w:t>
      </w:r>
      <w:hyperlink r:id="rId15" w:history="1">
        <w:r>
          <w:rPr>
            <w:rStyle w:val="Hyperlink"/>
            <w:rFonts w:ascii="Calibri" w:hAnsi="Calibri" w:cs="Calibri"/>
            <w:sz w:val="22"/>
            <w:szCs w:val="22"/>
            <w:lang w:val="es"/>
          </w:rPr>
          <w:t>nivel B2 del Marco común europeo de referencia para las lenguas</w:t>
        </w:r>
      </w:hyperlink>
      <w:r>
        <w:rPr>
          <w:rFonts w:ascii="Calibri" w:hAnsi="Calibri" w:cs="Calibri"/>
          <w:sz w:val="22"/>
          <w:szCs w:val="22"/>
          <w:lang w:val="es"/>
        </w:rPr>
        <w:t>).</w:t>
      </w:r>
    </w:p>
    <w:p w14:paraId="1B59A982" w14:textId="6E89ADEA" w:rsidR="0055573F" w:rsidRPr="00562710" w:rsidRDefault="0055573F" w:rsidP="0055573F">
      <w:pPr>
        <w:pStyle w:val="NormalWeb"/>
        <w:ind w:left="477"/>
        <w:jc w:val="both"/>
        <w:rPr>
          <w:rFonts w:ascii="Calibri" w:hAnsi="Calibri" w:cs="Calibri"/>
          <w:sz w:val="22"/>
          <w:szCs w:val="22"/>
          <w:lang w:val="es-419"/>
        </w:rPr>
      </w:pPr>
      <w:r>
        <w:rPr>
          <w:rFonts w:ascii="Calibri" w:hAnsi="Calibri" w:cs="Calibri"/>
          <w:sz w:val="22"/>
          <w:szCs w:val="22"/>
          <w:lang w:val="es"/>
        </w:rPr>
        <w:t>Los examinadores deben indicar que pueden evaluar a los alumnos en una lengua solo si cumplen estos requisitos mínimos</w:t>
      </w:r>
      <w:r w:rsidR="006D5A74">
        <w:rPr>
          <w:rFonts w:ascii="Calibri" w:hAnsi="Calibri" w:cs="Calibri"/>
          <w:sz w:val="22"/>
          <w:szCs w:val="22"/>
          <w:lang w:val="es"/>
        </w:rPr>
        <w:t xml:space="preserve"> (</w:t>
      </w:r>
      <w:hyperlink r:id="rId16" w:history="1">
        <w:r w:rsidR="00D161F4" w:rsidRPr="00D161F4">
          <w:rPr>
            <w:rStyle w:val="Hyperlink"/>
            <w:rFonts w:ascii="Calibri" w:hAnsi="Calibri" w:cs="Calibri"/>
            <w:sz w:val="22"/>
            <w:szCs w:val="22"/>
            <w:lang w:val="es"/>
          </w:rPr>
          <w:t>Marco Común Europeo de Referencia para las lenguas</w:t>
        </w:r>
      </w:hyperlink>
      <w:r w:rsidR="00FD0A47">
        <w:rPr>
          <w:rFonts w:ascii="Calibri" w:hAnsi="Calibri" w:cs="Calibri"/>
          <w:sz w:val="22"/>
          <w:szCs w:val="22"/>
          <w:lang w:val="es"/>
        </w:rPr>
        <w:t>)</w:t>
      </w:r>
      <w:r w:rsidR="007709F3">
        <w:rPr>
          <w:rFonts w:ascii="Calibri" w:hAnsi="Calibri" w:cs="Calibri"/>
          <w:sz w:val="22"/>
          <w:szCs w:val="22"/>
          <w:lang w:val="es"/>
        </w:rPr>
        <w:t>.</w:t>
      </w:r>
    </w:p>
    <w:p w14:paraId="59C89C18" w14:textId="77777777" w:rsidR="0055573F" w:rsidRPr="00562710" w:rsidRDefault="0055573F" w:rsidP="0055573F">
      <w:pPr>
        <w:pStyle w:val="NormalWeb"/>
        <w:ind w:left="477"/>
        <w:jc w:val="both"/>
        <w:rPr>
          <w:rFonts w:ascii="Segoe UI" w:hAnsi="Segoe UI" w:cs="Segoe UI"/>
          <w:sz w:val="21"/>
          <w:szCs w:val="21"/>
          <w:lang w:val="es-419"/>
        </w:rPr>
      </w:pPr>
      <w:r>
        <w:rPr>
          <w:rFonts w:asciiTheme="minorHAnsi" w:hAnsiTheme="minorHAnsi"/>
          <w:sz w:val="22"/>
          <w:szCs w:val="22"/>
          <w:lang w:val="es"/>
        </w:rPr>
        <w:t xml:space="preserve">El nombramiento de los examinadores se hará basándose en las lenguas en las que hayan declarado tener el nivel pertinente de competencia lingüística. </w:t>
      </w:r>
      <w:r>
        <w:rPr>
          <w:rFonts w:ascii="Calibri" w:hAnsi="Calibri"/>
          <w:sz w:val="22"/>
          <w:szCs w:val="22"/>
          <w:lang w:val="es"/>
        </w:rPr>
        <w:t>El nombramiento de un examinador se basa en las capacidades lingüísticas declaradas y puede retirarse si el examinador no puede o no quiere evaluar en todas las lenguas indicadas.</w:t>
      </w:r>
    </w:p>
    <w:p w14:paraId="00192395" w14:textId="77777777" w:rsidR="0055573F" w:rsidRPr="00562710" w:rsidRDefault="0055573F" w:rsidP="0055573F">
      <w:pPr>
        <w:pStyle w:val="BodyText"/>
        <w:ind w:left="477"/>
        <w:jc w:val="both"/>
        <w:rPr>
          <w:lang w:val="es-419"/>
        </w:rPr>
      </w:pPr>
      <w:r>
        <w:rPr>
          <w:lang w:val="es"/>
        </w:rPr>
        <w:t>El IB debe cumplir con la legislación y el reglamento de los países en los que contrate examinadores.</w:t>
      </w:r>
    </w:p>
    <w:p w14:paraId="3533507E" w14:textId="77777777" w:rsidR="0055573F" w:rsidRDefault="0055573F" w:rsidP="00562710">
      <w:pPr>
        <w:jc w:val="both"/>
        <w:rPr>
          <w:lang w:val="es-419"/>
        </w:rPr>
      </w:pPr>
    </w:p>
    <w:p w14:paraId="28112009" w14:textId="77777777" w:rsidR="0055573F" w:rsidRDefault="0055573F" w:rsidP="00562710">
      <w:pPr>
        <w:jc w:val="both"/>
        <w:rPr>
          <w:lang w:val="es-419"/>
        </w:rPr>
      </w:pPr>
    </w:p>
    <w:p w14:paraId="011ACD2D" w14:textId="77777777" w:rsidR="0055573F" w:rsidRDefault="0055573F" w:rsidP="00562710">
      <w:pPr>
        <w:jc w:val="both"/>
        <w:rPr>
          <w:lang w:val="es-419"/>
        </w:rPr>
      </w:pPr>
    </w:p>
    <w:p w14:paraId="6CE543A7" w14:textId="77777777" w:rsidR="0055573F" w:rsidRDefault="0055573F" w:rsidP="00562710">
      <w:pPr>
        <w:jc w:val="both"/>
        <w:rPr>
          <w:lang w:val="es-419"/>
        </w:rPr>
      </w:pPr>
    </w:p>
    <w:p w14:paraId="44EAFD9C" w14:textId="7C3DE0C8" w:rsidR="0055573F" w:rsidRPr="00562710" w:rsidRDefault="0055573F" w:rsidP="00562710">
      <w:pPr>
        <w:jc w:val="both"/>
        <w:rPr>
          <w:lang w:val="es-419"/>
        </w:rPr>
        <w:sectPr w:rsidR="0055573F" w:rsidRPr="00562710">
          <w:headerReference w:type="default" r:id="rId17"/>
          <w:footerReference w:type="default" r:id="rId18"/>
          <w:type w:val="continuous"/>
          <w:pgSz w:w="11910" w:h="16840"/>
          <w:pgMar w:top="1620" w:right="960" w:bottom="1100" w:left="960" w:header="709" w:footer="918" w:gutter="0"/>
          <w:pgNumType w:start="1"/>
          <w:cols w:space="720"/>
        </w:sectPr>
      </w:pPr>
    </w:p>
    <w:p w14:paraId="62EBF3C5" w14:textId="19D0FAD8" w:rsidR="00776E89" w:rsidRDefault="00776E89" w:rsidP="00403DEE">
      <w:pPr>
        <w:rPr>
          <w:sz w:val="24"/>
          <w:szCs w:val="24"/>
        </w:rPr>
      </w:pPr>
    </w:p>
    <w:p w14:paraId="4E289D72" w14:textId="77777777" w:rsidR="00D33F1E" w:rsidRPr="001F7045" w:rsidRDefault="00D33F1E" w:rsidP="00D33F1E">
      <w:pPr>
        <w:jc w:val="both"/>
        <w:rPr>
          <w:sz w:val="28"/>
          <w:szCs w:val="28"/>
          <w:lang w:val="es-419"/>
        </w:rPr>
      </w:pPr>
      <w:r>
        <w:rPr>
          <w:sz w:val="28"/>
          <w:szCs w:val="28"/>
          <w:lang w:val="es"/>
        </w:rPr>
        <w:t>Apéndice A</w:t>
      </w:r>
    </w:p>
    <w:p w14:paraId="072CF76F" w14:textId="77777777" w:rsidR="00D33F1E" w:rsidRPr="001F7045" w:rsidRDefault="00D33F1E" w:rsidP="00D33F1E">
      <w:pPr>
        <w:jc w:val="both"/>
        <w:rPr>
          <w:sz w:val="24"/>
          <w:szCs w:val="24"/>
          <w:lang w:val="es-419"/>
        </w:rPr>
      </w:pPr>
    </w:p>
    <w:p w14:paraId="631D08B5" w14:textId="77777777" w:rsidR="00D33F1E" w:rsidRPr="001F7045" w:rsidRDefault="00D33F1E" w:rsidP="00D33F1E">
      <w:pPr>
        <w:jc w:val="both"/>
        <w:rPr>
          <w:sz w:val="24"/>
          <w:szCs w:val="24"/>
          <w:lang w:val="es-419"/>
        </w:rPr>
      </w:pPr>
      <w:r>
        <w:rPr>
          <w:sz w:val="24"/>
          <w:szCs w:val="24"/>
          <w:lang w:val="es"/>
        </w:rPr>
        <w:t xml:space="preserve">Las siguientes asignaturas pueden evaluarse en inglés </w:t>
      </w:r>
      <w:r>
        <w:rPr>
          <w:rFonts w:ascii="Segoe UI" w:hAnsi="Segoe UI"/>
          <w:sz w:val="21"/>
          <w:szCs w:val="21"/>
          <w:lang w:val="es"/>
        </w:rPr>
        <w:t xml:space="preserve">(a menos que se indique lo contrario) </w:t>
      </w:r>
      <w:r>
        <w:rPr>
          <w:sz w:val="24"/>
          <w:szCs w:val="24"/>
          <w:lang w:val="es"/>
        </w:rPr>
        <w:t>y en las lenguas que se indican en la siguiente tabla.</w:t>
      </w:r>
    </w:p>
    <w:p w14:paraId="6BE3E81C" w14:textId="77777777" w:rsidR="00D33F1E" w:rsidRPr="001F7045" w:rsidRDefault="00D33F1E" w:rsidP="00D33F1E">
      <w:pPr>
        <w:rPr>
          <w:sz w:val="28"/>
          <w:szCs w:val="28"/>
          <w:lang w:val="es-419"/>
        </w:rPr>
      </w:pPr>
    </w:p>
    <w:tbl>
      <w:tblPr>
        <w:tblStyle w:val="TableGrid"/>
        <w:tblW w:w="0" w:type="auto"/>
        <w:tblLook w:val="04A0" w:firstRow="1" w:lastRow="0" w:firstColumn="1" w:lastColumn="0" w:noHBand="0" w:noVBand="1"/>
      </w:tblPr>
      <w:tblGrid>
        <w:gridCol w:w="4531"/>
        <w:gridCol w:w="4167"/>
      </w:tblGrid>
      <w:tr w:rsidR="00D33F1E" w14:paraId="29198515" w14:textId="77777777" w:rsidTr="001954E4">
        <w:trPr>
          <w:trHeight w:val="375"/>
        </w:trPr>
        <w:tc>
          <w:tcPr>
            <w:tcW w:w="4531" w:type="dxa"/>
          </w:tcPr>
          <w:p w14:paraId="214C6AA4" w14:textId="77777777" w:rsidR="00D33F1E" w:rsidRPr="00FF745F" w:rsidRDefault="00D33F1E" w:rsidP="001954E4">
            <w:pPr>
              <w:rPr>
                <w:b/>
                <w:sz w:val="24"/>
                <w:szCs w:val="24"/>
              </w:rPr>
            </w:pPr>
            <w:r>
              <w:rPr>
                <w:b/>
                <w:bCs/>
                <w:sz w:val="24"/>
                <w:szCs w:val="24"/>
                <w:lang w:val="es"/>
              </w:rPr>
              <w:t>Asignatura</w:t>
            </w:r>
          </w:p>
        </w:tc>
        <w:tc>
          <w:tcPr>
            <w:tcW w:w="4167" w:type="dxa"/>
          </w:tcPr>
          <w:p w14:paraId="0BA3E1C9" w14:textId="77777777" w:rsidR="00D33F1E" w:rsidRPr="00FF745F" w:rsidRDefault="00D33F1E" w:rsidP="001954E4">
            <w:pPr>
              <w:rPr>
                <w:b/>
                <w:sz w:val="24"/>
                <w:szCs w:val="24"/>
              </w:rPr>
            </w:pPr>
            <w:r>
              <w:rPr>
                <w:b/>
                <w:bCs/>
                <w:sz w:val="24"/>
                <w:szCs w:val="24"/>
                <w:lang w:val="es"/>
              </w:rPr>
              <w:t>Lenguas</w:t>
            </w:r>
          </w:p>
        </w:tc>
      </w:tr>
      <w:tr w:rsidR="00D33F1E" w14:paraId="0B05B4E6" w14:textId="77777777" w:rsidTr="001954E4">
        <w:trPr>
          <w:trHeight w:val="375"/>
        </w:trPr>
        <w:tc>
          <w:tcPr>
            <w:tcW w:w="4531" w:type="dxa"/>
          </w:tcPr>
          <w:p w14:paraId="53133EC9" w14:textId="77777777" w:rsidR="00D33F1E" w:rsidRDefault="00D33F1E" w:rsidP="001954E4">
            <w:pPr>
              <w:rPr>
                <w:sz w:val="24"/>
                <w:szCs w:val="24"/>
              </w:rPr>
            </w:pPr>
            <w:r>
              <w:rPr>
                <w:sz w:val="24"/>
                <w:szCs w:val="24"/>
                <w:lang w:val="es"/>
              </w:rPr>
              <w:t>Estudios Sociales de Brasil</w:t>
            </w:r>
          </w:p>
        </w:tc>
        <w:tc>
          <w:tcPr>
            <w:tcW w:w="4167" w:type="dxa"/>
          </w:tcPr>
          <w:p w14:paraId="245C7BCA" w14:textId="77777777" w:rsidR="00D33F1E" w:rsidRDefault="00D33F1E" w:rsidP="001954E4">
            <w:pPr>
              <w:rPr>
                <w:sz w:val="24"/>
                <w:szCs w:val="24"/>
              </w:rPr>
            </w:pPr>
            <w:r>
              <w:rPr>
                <w:sz w:val="24"/>
                <w:szCs w:val="24"/>
                <w:lang w:val="es"/>
              </w:rPr>
              <w:t>Solo portugués</w:t>
            </w:r>
          </w:p>
        </w:tc>
      </w:tr>
      <w:tr w:rsidR="00D33F1E" w14:paraId="609FE640" w14:textId="77777777" w:rsidTr="001954E4">
        <w:trPr>
          <w:trHeight w:val="375"/>
        </w:trPr>
        <w:tc>
          <w:tcPr>
            <w:tcW w:w="4531" w:type="dxa"/>
          </w:tcPr>
          <w:p w14:paraId="74F99E17" w14:textId="77777777" w:rsidR="00D33F1E" w:rsidRDefault="00D33F1E" w:rsidP="001954E4">
            <w:pPr>
              <w:rPr>
                <w:sz w:val="24"/>
                <w:szCs w:val="24"/>
              </w:rPr>
            </w:pPr>
            <w:r>
              <w:rPr>
                <w:sz w:val="24"/>
                <w:szCs w:val="24"/>
                <w:lang w:val="es"/>
              </w:rPr>
              <w:t>Gestión Empresarial</w:t>
            </w:r>
          </w:p>
        </w:tc>
        <w:tc>
          <w:tcPr>
            <w:tcW w:w="4167" w:type="dxa"/>
          </w:tcPr>
          <w:p w14:paraId="2732BD96" w14:textId="77777777" w:rsidR="00D33F1E" w:rsidRDefault="00D33F1E" w:rsidP="001954E4">
            <w:pPr>
              <w:rPr>
                <w:sz w:val="24"/>
                <w:szCs w:val="24"/>
              </w:rPr>
            </w:pPr>
            <w:r>
              <w:rPr>
                <w:sz w:val="24"/>
                <w:szCs w:val="24"/>
                <w:lang w:val="es"/>
              </w:rPr>
              <w:t>Español</w:t>
            </w:r>
          </w:p>
        </w:tc>
      </w:tr>
      <w:tr w:rsidR="00D33F1E" w14:paraId="087617E3" w14:textId="77777777" w:rsidTr="001954E4">
        <w:trPr>
          <w:trHeight w:val="394"/>
        </w:trPr>
        <w:tc>
          <w:tcPr>
            <w:tcW w:w="4531" w:type="dxa"/>
          </w:tcPr>
          <w:p w14:paraId="71511F61" w14:textId="77777777" w:rsidR="00D33F1E" w:rsidRDefault="00D33F1E" w:rsidP="001954E4">
            <w:pPr>
              <w:rPr>
                <w:sz w:val="24"/>
                <w:szCs w:val="24"/>
              </w:rPr>
            </w:pPr>
            <w:r>
              <w:rPr>
                <w:sz w:val="24"/>
                <w:szCs w:val="24"/>
                <w:lang w:val="es"/>
              </w:rPr>
              <w:t>Historia</w:t>
            </w:r>
          </w:p>
        </w:tc>
        <w:tc>
          <w:tcPr>
            <w:tcW w:w="4167" w:type="dxa"/>
          </w:tcPr>
          <w:p w14:paraId="502DCF4A" w14:textId="77777777" w:rsidR="00D33F1E" w:rsidRDefault="00D33F1E" w:rsidP="001954E4">
            <w:pPr>
              <w:rPr>
                <w:sz w:val="24"/>
                <w:szCs w:val="24"/>
              </w:rPr>
            </w:pPr>
            <w:r>
              <w:rPr>
                <w:sz w:val="24"/>
                <w:szCs w:val="24"/>
                <w:lang w:val="es"/>
              </w:rPr>
              <w:t>Español</w:t>
            </w:r>
          </w:p>
        </w:tc>
      </w:tr>
      <w:tr w:rsidR="00D33F1E" w14:paraId="60C5F62D" w14:textId="77777777" w:rsidTr="001954E4">
        <w:trPr>
          <w:trHeight w:val="375"/>
        </w:trPr>
        <w:tc>
          <w:tcPr>
            <w:tcW w:w="4531" w:type="dxa"/>
          </w:tcPr>
          <w:p w14:paraId="357F1650" w14:textId="77777777" w:rsidR="00D33F1E" w:rsidRDefault="00D33F1E" w:rsidP="001954E4">
            <w:pPr>
              <w:rPr>
                <w:sz w:val="24"/>
                <w:szCs w:val="24"/>
              </w:rPr>
            </w:pPr>
            <w:r>
              <w:rPr>
                <w:sz w:val="24"/>
                <w:szCs w:val="24"/>
                <w:lang w:val="es"/>
              </w:rPr>
              <w:t>Historia Moderna de Kazajistán</w:t>
            </w:r>
          </w:p>
        </w:tc>
        <w:tc>
          <w:tcPr>
            <w:tcW w:w="4167" w:type="dxa"/>
          </w:tcPr>
          <w:p w14:paraId="6787D367" w14:textId="77777777" w:rsidR="00D33F1E" w:rsidRDefault="00D33F1E" w:rsidP="001954E4">
            <w:pPr>
              <w:rPr>
                <w:sz w:val="24"/>
                <w:szCs w:val="24"/>
              </w:rPr>
            </w:pPr>
            <w:r>
              <w:rPr>
                <w:sz w:val="24"/>
                <w:szCs w:val="24"/>
                <w:lang w:val="es"/>
              </w:rPr>
              <w:t>Solo kazajo</w:t>
            </w:r>
          </w:p>
        </w:tc>
      </w:tr>
      <w:tr w:rsidR="00D33F1E" w14:paraId="00B13CE9" w14:textId="77777777" w:rsidTr="001954E4">
        <w:trPr>
          <w:trHeight w:val="375"/>
        </w:trPr>
        <w:tc>
          <w:tcPr>
            <w:tcW w:w="4531" w:type="dxa"/>
          </w:tcPr>
          <w:p w14:paraId="2581FB6F" w14:textId="77777777" w:rsidR="00D33F1E" w:rsidRDefault="00D33F1E" w:rsidP="001954E4">
            <w:pPr>
              <w:rPr>
                <w:sz w:val="24"/>
                <w:szCs w:val="24"/>
              </w:rPr>
            </w:pPr>
            <w:r>
              <w:rPr>
                <w:sz w:val="24"/>
                <w:szCs w:val="24"/>
                <w:lang w:val="es"/>
              </w:rPr>
              <w:t>Filosofía</w:t>
            </w:r>
          </w:p>
        </w:tc>
        <w:tc>
          <w:tcPr>
            <w:tcW w:w="4167" w:type="dxa"/>
          </w:tcPr>
          <w:p w14:paraId="0697980F" w14:textId="77777777" w:rsidR="00D33F1E" w:rsidRDefault="00D33F1E" w:rsidP="001954E4">
            <w:pPr>
              <w:rPr>
                <w:sz w:val="24"/>
                <w:szCs w:val="24"/>
              </w:rPr>
            </w:pPr>
            <w:r>
              <w:rPr>
                <w:sz w:val="24"/>
                <w:szCs w:val="24"/>
                <w:lang w:val="es"/>
              </w:rPr>
              <w:t>Español</w:t>
            </w:r>
          </w:p>
        </w:tc>
      </w:tr>
      <w:tr w:rsidR="00D33F1E" w14:paraId="580E7665" w14:textId="77777777" w:rsidTr="001954E4">
        <w:trPr>
          <w:trHeight w:val="375"/>
        </w:trPr>
        <w:tc>
          <w:tcPr>
            <w:tcW w:w="4531" w:type="dxa"/>
          </w:tcPr>
          <w:p w14:paraId="2A7A78BC" w14:textId="77777777" w:rsidR="00D33F1E" w:rsidRDefault="00D33F1E" w:rsidP="001954E4">
            <w:pPr>
              <w:rPr>
                <w:sz w:val="24"/>
                <w:szCs w:val="24"/>
              </w:rPr>
            </w:pPr>
            <w:r>
              <w:rPr>
                <w:sz w:val="24"/>
                <w:szCs w:val="24"/>
                <w:lang w:val="es"/>
              </w:rPr>
              <w:t>Pensamiento Político</w:t>
            </w:r>
          </w:p>
        </w:tc>
        <w:tc>
          <w:tcPr>
            <w:tcW w:w="4167" w:type="dxa"/>
          </w:tcPr>
          <w:p w14:paraId="37767FB8" w14:textId="77777777" w:rsidR="00D33F1E" w:rsidRDefault="00D33F1E" w:rsidP="001954E4">
            <w:pPr>
              <w:rPr>
                <w:sz w:val="24"/>
                <w:szCs w:val="24"/>
              </w:rPr>
            </w:pPr>
            <w:r>
              <w:rPr>
                <w:sz w:val="24"/>
                <w:szCs w:val="24"/>
                <w:lang w:val="es"/>
              </w:rPr>
              <w:t>Español</w:t>
            </w:r>
          </w:p>
        </w:tc>
      </w:tr>
      <w:tr w:rsidR="00D33F1E" w14:paraId="3FB4D0A4" w14:textId="77777777" w:rsidTr="001954E4">
        <w:trPr>
          <w:trHeight w:val="375"/>
        </w:trPr>
        <w:tc>
          <w:tcPr>
            <w:tcW w:w="4531" w:type="dxa"/>
          </w:tcPr>
          <w:p w14:paraId="3DE0D9DB" w14:textId="77777777" w:rsidR="00D33F1E" w:rsidRPr="001F7045" w:rsidRDefault="00D33F1E" w:rsidP="001954E4">
            <w:pPr>
              <w:rPr>
                <w:sz w:val="24"/>
                <w:szCs w:val="24"/>
                <w:lang w:val="es-419"/>
              </w:rPr>
            </w:pPr>
            <w:r>
              <w:rPr>
                <w:sz w:val="24"/>
                <w:szCs w:val="24"/>
                <w:lang w:val="es"/>
              </w:rPr>
              <w:t>Turquía en el Siglo XX</w:t>
            </w:r>
          </w:p>
        </w:tc>
        <w:tc>
          <w:tcPr>
            <w:tcW w:w="4167" w:type="dxa"/>
          </w:tcPr>
          <w:p w14:paraId="7612863D" w14:textId="77777777" w:rsidR="00D33F1E" w:rsidRDefault="00D33F1E" w:rsidP="001954E4">
            <w:pPr>
              <w:rPr>
                <w:sz w:val="24"/>
                <w:szCs w:val="24"/>
              </w:rPr>
            </w:pPr>
            <w:r>
              <w:rPr>
                <w:sz w:val="24"/>
                <w:szCs w:val="24"/>
                <w:lang w:val="es"/>
              </w:rPr>
              <w:t>Solo turco</w:t>
            </w:r>
          </w:p>
        </w:tc>
      </w:tr>
      <w:tr w:rsidR="00D33F1E" w14:paraId="4BD9CAC1" w14:textId="77777777" w:rsidTr="001954E4">
        <w:trPr>
          <w:trHeight w:val="375"/>
        </w:trPr>
        <w:tc>
          <w:tcPr>
            <w:tcW w:w="4531" w:type="dxa"/>
          </w:tcPr>
          <w:p w14:paraId="16B4EE6F" w14:textId="77777777" w:rsidR="00D33F1E" w:rsidRDefault="00D33F1E" w:rsidP="001954E4">
            <w:pPr>
              <w:rPr>
                <w:sz w:val="24"/>
                <w:szCs w:val="24"/>
              </w:rPr>
            </w:pPr>
            <w:r>
              <w:rPr>
                <w:sz w:val="24"/>
                <w:szCs w:val="24"/>
                <w:lang w:val="es"/>
              </w:rPr>
              <w:t xml:space="preserve">Biología </w:t>
            </w:r>
          </w:p>
        </w:tc>
        <w:tc>
          <w:tcPr>
            <w:tcW w:w="4167" w:type="dxa"/>
          </w:tcPr>
          <w:p w14:paraId="362BDD69" w14:textId="77777777" w:rsidR="00D33F1E" w:rsidRDefault="00D33F1E" w:rsidP="001954E4">
            <w:pPr>
              <w:rPr>
                <w:sz w:val="24"/>
                <w:szCs w:val="24"/>
              </w:rPr>
            </w:pPr>
            <w:r>
              <w:rPr>
                <w:sz w:val="24"/>
                <w:szCs w:val="24"/>
                <w:lang w:val="es"/>
              </w:rPr>
              <w:t>Español</w:t>
            </w:r>
          </w:p>
        </w:tc>
      </w:tr>
      <w:tr w:rsidR="00D33F1E" w14:paraId="26DADFDA" w14:textId="77777777" w:rsidTr="001954E4">
        <w:trPr>
          <w:trHeight w:val="375"/>
        </w:trPr>
        <w:tc>
          <w:tcPr>
            <w:tcW w:w="4531" w:type="dxa"/>
          </w:tcPr>
          <w:p w14:paraId="7D441E22" w14:textId="77777777" w:rsidR="00D33F1E" w:rsidRDefault="00D33F1E" w:rsidP="001954E4">
            <w:pPr>
              <w:rPr>
                <w:sz w:val="24"/>
                <w:szCs w:val="24"/>
              </w:rPr>
            </w:pPr>
            <w:r>
              <w:rPr>
                <w:sz w:val="24"/>
                <w:szCs w:val="24"/>
                <w:lang w:val="es"/>
              </w:rPr>
              <w:t xml:space="preserve">Química </w:t>
            </w:r>
          </w:p>
        </w:tc>
        <w:tc>
          <w:tcPr>
            <w:tcW w:w="4167" w:type="dxa"/>
          </w:tcPr>
          <w:p w14:paraId="3944FE41" w14:textId="77777777" w:rsidR="00D33F1E" w:rsidRDefault="00D33F1E" w:rsidP="001954E4">
            <w:pPr>
              <w:rPr>
                <w:sz w:val="24"/>
                <w:szCs w:val="24"/>
              </w:rPr>
            </w:pPr>
            <w:r>
              <w:rPr>
                <w:sz w:val="24"/>
                <w:szCs w:val="24"/>
                <w:lang w:val="es"/>
              </w:rPr>
              <w:t>Español</w:t>
            </w:r>
          </w:p>
        </w:tc>
      </w:tr>
      <w:tr w:rsidR="00D33F1E" w14:paraId="759C355A" w14:textId="77777777" w:rsidTr="001954E4">
        <w:trPr>
          <w:trHeight w:val="375"/>
        </w:trPr>
        <w:tc>
          <w:tcPr>
            <w:tcW w:w="4531" w:type="dxa"/>
          </w:tcPr>
          <w:p w14:paraId="35CA78AD" w14:textId="77777777" w:rsidR="00D33F1E" w:rsidRDefault="00D33F1E" w:rsidP="001954E4">
            <w:pPr>
              <w:rPr>
                <w:sz w:val="24"/>
                <w:szCs w:val="24"/>
              </w:rPr>
            </w:pPr>
            <w:r>
              <w:rPr>
                <w:sz w:val="24"/>
                <w:szCs w:val="24"/>
                <w:lang w:val="es"/>
              </w:rPr>
              <w:t xml:space="preserve">Física </w:t>
            </w:r>
          </w:p>
        </w:tc>
        <w:tc>
          <w:tcPr>
            <w:tcW w:w="4167" w:type="dxa"/>
          </w:tcPr>
          <w:p w14:paraId="33844D74" w14:textId="77777777" w:rsidR="00D33F1E" w:rsidRDefault="00D33F1E" w:rsidP="001954E4">
            <w:pPr>
              <w:rPr>
                <w:sz w:val="24"/>
                <w:szCs w:val="24"/>
              </w:rPr>
            </w:pPr>
            <w:r>
              <w:rPr>
                <w:sz w:val="24"/>
                <w:szCs w:val="24"/>
                <w:lang w:val="es"/>
              </w:rPr>
              <w:t>Español</w:t>
            </w:r>
          </w:p>
        </w:tc>
      </w:tr>
      <w:tr w:rsidR="00D33F1E" w14:paraId="2AFFCD63" w14:textId="77777777" w:rsidTr="001954E4">
        <w:trPr>
          <w:trHeight w:val="375"/>
        </w:trPr>
        <w:tc>
          <w:tcPr>
            <w:tcW w:w="4531" w:type="dxa"/>
          </w:tcPr>
          <w:p w14:paraId="04B7B236" w14:textId="77777777" w:rsidR="00D33F1E" w:rsidRDefault="00D33F1E" w:rsidP="001954E4">
            <w:pPr>
              <w:rPr>
                <w:rFonts w:eastAsiaTheme="minorEastAsia"/>
                <w:sz w:val="24"/>
                <w:szCs w:val="24"/>
              </w:rPr>
            </w:pPr>
            <w:r>
              <w:rPr>
                <w:rFonts w:eastAsiaTheme="minorEastAsia"/>
                <w:sz w:val="24"/>
                <w:szCs w:val="24"/>
                <w:lang w:val="es"/>
              </w:rPr>
              <w:t>Matemáticas: Aplicaciones e Interpretación</w:t>
            </w:r>
          </w:p>
        </w:tc>
        <w:tc>
          <w:tcPr>
            <w:tcW w:w="4167" w:type="dxa"/>
          </w:tcPr>
          <w:p w14:paraId="163C867B" w14:textId="77777777" w:rsidR="00D33F1E" w:rsidRDefault="00D33F1E" w:rsidP="001954E4">
            <w:pPr>
              <w:rPr>
                <w:sz w:val="24"/>
                <w:szCs w:val="24"/>
              </w:rPr>
            </w:pPr>
            <w:r>
              <w:rPr>
                <w:sz w:val="24"/>
                <w:szCs w:val="24"/>
                <w:lang w:val="es"/>
              </w:rPr>
              <w:t>Español</w:t>
            </w:r>
          </w:p>
        </w:tc>
      </w:tr>
      <w:tr w:rsidR="00D33F1E" w14:paraId="0B8FBCE7" w14:textId="77777777" w:rsidTr="001954E4">
        <w:trPr>
          <w:trHeight w:val="375"/>
        </w:trPr>
        <w:tc>
          <w:tcPr>
            <w:tcW w:w="4531" w:type="dxa"/>
          </w:tcPr>
          <w:p w14:paraId="32772B5A" w14:textId="77777777" w:rsidR="00D33F1E" w:rsidRDefault="00D33F1E" w:rsidP="001954E4">
            <w:pPr>
              <w:rPr>
                <w:sz w:val="24"/>
                <w:szCs w:val="24"/>
              </w:rPr>
            </w:pPr>
            <w:r>
              <w:rPr>
                <w:sz w:val="24"/>
                <w:szCs w:val="24"/>
                <w:lang w:val="es"/>
              </w:rPr>
              <w:t xml:space="preserve">Matemáticas </w:t>
            </w:r>
          </w:p>
        </w:tc>
        <w:tc>
          <w:tcPr>
            <w:tcW w:w="4167" w:type="dxa"/>
          </w:tcPr>
          <w:p w14:paraId="20C6F41D" w14:textId="77777777" w:rsidR="00D33F1E" w:rsidRDefault="00D33F1E" w:rsidP="001954E4">
            <w:pPr>
              <w:rPr>
                <w:sz w:val="24"/>
                <w:szCs w:val="24"/>
              </w:rPr>
            </w:pPr>
            <w:r>
              <w:rPr>
                <w:sz w:val="24"/>
                <w:szCs w:val="24"/>
                <w:lang w:val="es"/>
              </w:rPr>
              <w:t>Español</w:t>
            </w:r>
          </w:p>
        </w:tc>
      </w:tr>
      <w:tr w:rsidR="00D33F1E" w14:paraId="3F3CE689" w14:textId="77777777" w:rsidTr="001954E4">
        <w:trPr>
          <w:trHeight w:val="375"/>
        </w:trPr>
        <w:tc>
          <w:tcPr>
            <w:tcW w:w="4531" w:type="dxa"/>
          </w:tcPr>
          <w:p w14:paraId="244E9E85" w14:textId="77777777" w:rsidR="00D33F1E" w:rsidRDefault="00D33F1E" w:rsidP="001954E4">
            <w:pPr>
              <w:rPr>
                <w:sz w:val="24"/>
                <w:szCs w:val="24"/>
              </w:rPr>
            </w:pPr>
            <w:r>
              <w:rPr>
                <w:sz w:val="24"/>
                <w:szCs w:val="24"/>
                <w:lang w:val="es"/>
              </w:rPr>
              <w:t>Artes Visuales</w:t>
            </w:r>
          </w:p>
        </w:tc>
        <w:tc>
          <w:tcPr>
            <w:tcW w:w="4167" w:type="dxa"/>
          </w:tcPr>
          <w:p w14:paraId="77241B6C" w14:textId="77777777" w:rsidR="00D33F1E" w:rsidRDefault="00D33F1E" w:rsidP="001954E4">
            <w:pPr>
              <w:rPr>
                <w:sz w:val="24"/>
                <w:szCs w:val="24"/>
              </w:rPr>
            </w:pPr>
            <w:r>
              <w:rPr>
                <w:sz w:val="24"/>
                <w:szCs w:val="24"/>
                <w:lang w:val="es"/>
              </w:rPr>
              <w:t>Español</w:t>
            </w:r>
          </w:p>
        </w:tc>
      </w:tr>
      <w:tr w:rsidR="00D33F1E" w14:paraId="135DC31C" w14:textId="77777777" w:rsidTr="001954E4">
        <w:trPr>
          <w:trHeight w:val="375"/>
        </w:trPr>
        <w:tc>
          <w:tcPr>
            <w:tcW w:w="4531" w:type="dxa"/>
          </w:tcPr>
          <w:p w14:paraId="1E64E99E" w14:textId="77777777" w:rsidR="00D33F1E" w:rsidRDefault="00D33F1E" w:rsidP="001954E4">
            <w:pPr>
              <w:rPr>
                <w:sz w:val="24"/>
                <w:szCs w:val="24"/>
              </w:rPr>
            </w:pPr>
            <w:r>
              <w:rPr>
                <w:sz w:val="24"/>
                <w:szCs w:val="24"/>
                <w:lang w:val="es"/>
              </w:rPr>
              <w:t>Teoría del Conocimiento</w:t>
            </w:r>
          </w:p>
        </w:tc>
        <w:tc>
          <w:tcPr>
            <w:tcW w:w="4167" w:type="dxa"/>
          </w:tcPr>
          <w:p w14:paraId="20630FB1" w14:textId="77777777" w:rsidR="00D33F1E" w:rsidRDefault="00D33F1E" w:rsidP="001954E4">
            <w:pPr>
              <w:rPr>
                <w:sz w:val="24"/>
                <w:szCs w:val="24"/>
              </w:rPr>
            </w:pPr>
            <w:r>
              <w:rPr>
                <w:sz w:val="24"/>
                <w:szCs w:val="24"/>
                <w:lang w:val="es"/>
              </w:rPr>
              <w:t>Chino, español y francés</w:t>
            </w:r>
          </w:p>
        </w:tc>
      </w:tr>
    </w:tbl>
    <w:p w14:paraId="0133EAD8" w14:textId="77777777" w:rsidR="00D33F1E" w:rsidRPr="00DC737D" w:rsidRDefault="00D33F1E" w:rsidP="00403DEE">
      <w:pPr>
        <w:rPr>
          <w:sz w:val="24"/>
          <w:szCs w:val="24"/>
        </w:rPr>
      </w:pPr>
    </w:p>
    <w:p w14:paraId="6D98A12B" w14:textId="77777777" w:rsidR="00776E89" w:rsidRDefault="00776E89" w:rsidP="00403DEE">
      <w:pPr>
        <w:ind w:left="117"/>
      </w:pPr>
    </w:p>
    <w:p w14:paraId="2946DB82" w14:textId="77777777" w:rsidR="00776E89" w:rsidRDefault="00776E89" w:rsidP="00403DEE">
      <w:pPr>
        <w:ind w:left="117"/>
      </w:pPr>
    </w:p>
    <w:sectPr w:rsidR="00776E89">
      <w:headerReference w:type="default" r:id="rId19"/>
      <w:pgSz w:w="11910" w:h="16840"/>
      <w:pgMar w:top="1620" w:right="960" w:bottom="1100" w:left="960" w:header="709"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072D" w14:textId="77777777" w:rsidR="002C1538" w:rsidRDefault="002C1538">
      <w:r>
        <w:separator/>
      </w:r>
    </w:p>
  </w:endnote>
  <w:endnote w:type="continuationSeparator" w:id="0">
    <w:p w14:paraId="3CF6AC8C" w14:textId="77777777" w:rsidR="002C1538" w:rsidRDefault="002C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C069" w14:textId="5B1391AD" w:rsidR="0035058D" w:rsidRDefault="0076549C">
    <w:pPr>
      <w:pStyle w:val="BodyText"/>
      <w:spacing w:line="14" w:lineRule="auto"/>
      <w:rPr>
        <w:sz w:val="20"/>
      </w:rPr>
    </w:pPr>
    <w:r>
      <w:rPr>
        <w:noProof/>
        <w:lang w:val="es"/>
      </w:rPr>
      <mc:AlternateContent>
        <mc:Choice Requires="wps">
          <w:drawing>
            <wp:anchor distT="0" distB="0" distL="114300" distR="114300" simplePos="0" relativeHeight="503311280" behindDoc="1" locked="0" layoutInCell="1" allowOverlap="1" wp14:anchorId="61115300" wp14:editId="375A6616">
              <wp:simplePos x="0" y="0"/>
              <wp:positionH relativeFrom="page">
                <wp:posOffset>673100</wp:posOffset>
              </wp:positionH>
              <wp:positionV relativeFrom="page">
                <wp:posOffset>10115550</wp:posOffset>
              </wp:positionV>
              <wp:extent cx="2368550" cy="146050"/>
              <wp:effectExtent l="0" t="0" r="1270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06A6" w14:textId="24D42016" w:rsidR="0035058D" w:rsidRDefault="008B499F">
                          <w:pPr>
                            <w:spacing w:before="15"/>
                            <w:ind w:left="20"/>
                            <w:rPr>
                              <w:rFonts w:ascii="Arial" w:hAnsi="Arial"/>
                              <w:sz w:val="16"/>
                            </w:rPr>
                          </w:pPr>
                          <w:r>
                            <w:rPr>
                              <w:rFonts w:ascii="Arial" w:hAnsi="Arial"/>
                              <w:sz w:val="16"/>
                              <w:lang w:val="es"/>
                            </w:rPr>
                            <w:t>© Organización del Bachillerato Internacional,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15300" id="_x0000_t202" coordsize="21600,21600" o:spt="202" path="m,l,21600r21600,l21600,xe">
              <v:stroke joinstyle="miter"/>
              <v:path gradientshapeok="t" o:connecttype="rect"/>
            </v:shapetype>
            <v:shape id="Text Box 1" o:spid="_x0000_s1026" type="#_x0000_t202" style="position:absolute;margin-left:53pt;margin-top:796.5pt;width:186.5pt;height:11.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" filled="f" stroked="f">
              <v:textbox inset="0,0,0,0">
                <w:txbxContent>
                  <w:p w14:paraId="795E06A6" w14:textId="24D42016" w:rsidR="0035058D" w:rsidRDefault="008B499F">
                    <w:pPr>
                      <w:spacing w:before="15"/>
                      <w:ind w:left="20"/>
                      <w:rPr>
                        <w:rFonts w:ascii="Arial" w:hAnsi="Arial"/>
                        <w:sz w:val="16"/>
                      </w:rPr>
                    </w:pPr>
                    <w:r>
                      <w:rPr>
                        <w:rFonts w:ascii="Arial" w:hAnsi="Arial"/>
                        <w:sz w:val="16"/>
                        <w:lang w:val="es"/>
                      </w:rPr>
                      <w:t>© Organización del Bachillerato Internacional, 2021</w:t>
                    </w:r>
                  </w:p>
                </w:txbxContent>
              </v:textbox>
              <w10:wrap anchorx="page" anchory="page"/>
            </v:shape>
          </w:pict>
        </mc:Fallback>
      </mc:AlternateContent>
    </w:r>
    <w:r>
      <w:rPr>
        <w:noProof/>
        <w:lang w:val="es"/>
      </w:rPr>
      <mc:AlternateContent>
        <mc:Choice Requires="wps">
          <w:drawing>
            <wp:anchor distT="0" distB="0" distL="114300" distR="114300" simplePos="0" relativeHeight="503311256" behindDoc="1" locked="0" layoutInCell="1" allowOverlap="1" wp14:anchorId="27D0230C" wp14:editId="20D27779">
              <wp:simplePos x="0" y="0"/>
              <wp:positionH relativeFrom="page">
                <wp:posOffset>6780530</wp:posOffset>
              </wp:positionH>
              <wp:positionV relativeFrom="page">
                <wp:posOffset>9969500</wp:posOffset>
              </wp:positionV>
              <wp:extent cx="121920" cy="16573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35058D" w:rsidRDefault="008B499F">
                          <w:pPr>
                            <w:pStyle w:val="BodyText"/>
                            <w:spacing w:line="245" w:lineRule="exact"/>
                            <w:ind w:left="40"/>
                          </w:pPr>
                          <w:r>
                            <w:rPr>
                              <w:lang w:val="es"/>
                            </w:rPr>
                            <w:fldChar w:fldCharType="begin"/>
                          </w:r>
                          <w:r>
                            <w:rPr>
                              <w:lang w:val="es"/>
                            </w:rPr>
                            <w:instrText xml:space="preserve"> PAGE </w:instrText>
                          </w:r>
                          <w:r>
                            <w:rPr>
                              <w:lang w:val="es"/>
                            </w:rPr>
                            <w:fldChar w:fldCharType="separate"/>
                          </w:r>
                          <w:r>
                            <w:rPr>
                              <w:lang w:val="es"/>
                            </w:rPr>
                            <w:t>1</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230C" id="Text Box 2" o:spid="_x0000_s1027" type="#_x0000_t202" style="position:absolute;margin-left:533.9pt;margin-top:785pt;width:9.6pt;height:13.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" filled="f" stroked="f">
              <v:textbox inset="0,0,0,0">
                <w:txbxContent>
                  <w:p w14:paraId="4590CB77" w14:textId="77777777" w:rsidR="0035058D" w:rsidRDefault="008B499F">
                    <w:pPr>
                      <w:pStyle w:val="BodyText"/>
                      <w:spacing w:line="245" w:lineRule="exact"/>
                      <w:ind w:left="40"/>
                    </w:pPr>
                    <w:r>
                      <w:rPr>
                        <w:lang w:val="es"/>
                      </w:rPr>
                      <w:fldChar w:fldCharType="begin"/>
                    </w:r>
                    <w:r>
                      <w:rPr>
                        <w:lang w:val="es"/>
                      </w:rPr>
                      <w:instrText xml:space="preserve"> PAGE </w:instrText>
                    </w:r>
                    <w:r>
                      <w:rPr>
                        <w:lang w:val="es"/>
                      </w:rPr>
                      <w:fldChar w:fldCharType="separate"/>
                    </w:r>
                    <w:r>
                      <w:rPr>
                        <w:lang w:val="es"/>
                      </w:rPr>
                      <w:t>1</w:t>
                    </w:r>
                    <w:r>
                      <w:rPr>
                        <w:lang w:val="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1558" w14:textId="77777777" w:rsidR="002C1538" w:rsidRDefault="002C1538">
      <w:r>
        <w:separator/>
      </w:r>
    </w:p>
  </w:footnote>
  <w:footnote w:type="continuationSeparator" w:id="0">
    <w:p w14:paraId="480FEEDB" w14:textId="77777777" w:rsidR="002C1538" w:rsidRDefault="002C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12B" w14:textId="77777777" w:rsidR="0035058D" w:rsidRDefault="008B499F">
    <w:pPr>
      <w:pStyle w:val="BodyText"/>
      <w:spacing w:line="14" w:lineRule="auto"/>
      <w:rPr>
        <w:sz w:val="20"/>
      </w:rPr>
    </w:pPr>
    <w:r>
      <w:rPr>
        <w:noProof/>
        <w:lang w:val="es"/>
      </w:rPr>
      <w:drawing>
        <wp:anchor distT="0" distB="0" distL="0" distR="0" simplePos="0" relativeHeight="268430207" behindDoc="1" locked="0" layoutInCell="1" allowOverlap="1" wp14:anchorId="10460C30" wp14:editId="07777777">
          <wp:simplePos x="0" y="0"/>
          <wp:positionH relativeFrom="page">
            <wp:posOffset>4923790</wp:posOffset>
          </wp:positionH>
          <wp:positionV relativeFrom="page">
            <wp:posOffset>450214</wp:posOffset>
          </wp:positionV>
          <wp:extent cx="1952623" cy="59054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2623" cy="5905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4427" w14:textId="77777777" w:rsidR="0035058D" w:rsidRDefault="008B499F">
    <w:pPr>
      <w:pStyle w:val="BodyText"/>
      <w:spacing w:line="14" w:lineRule="auto"/>
      <w:rPr>
        <w:sz w:val="20"/>
      </w:rPr>
    </w:pPr>
    <w:r>
      <w:rPr>
        <w:noProof/>
        <w:lang w:val="es"/>
      </w:rPr>
      <w:drawing>
        <wp:anchor distT="0" distB="0" distL="0" distR="0" simplePos="0" relativeHeight="268430279" behindDoc="1" locked="0" layoutInCell="1" allowOverlap="1" wp14:anchorId="49F22BC2" wp14:editId="07777777">
          <wp:simplePos x="0" y="0"/>
          <wp:positionH relativeFrom="page">
            <wp:posOffset>4923790</wp:posOffset>
          </wp:positionH>
          <wp:positionV relativeFrom="page">
            <wp:posOffset>450214</wp:posOffset>
          </wp:positionV>
          <wp:extent cx="1952623" cy="59054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2623" cy="5905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143C"/>
    <w:multiLevelType w:val="hybridMultilevel"/>
    <w:tmpl w:val="1D4426DC"/>
    <w:lvl w:ilvl="0" w:tplc="15885B08">
      <w:start w:val="1"/>
      <w:numFmt w:val="decimal"/>
      <w:lvlText w:val="%1."/>
      <w:lvlJc w:val="left"/>
      <w:pPr>
        <w:ind w:left="477" w:hanging="360"/>
      </w:pPr>
      <w:rPr>
        <w:rFonts w:ascii="Calibri" w:eastAsia="Calibri" w:hAnsi="Calibri" w:cs="Calibri" w:hint="default"/>
        <w:spacing w:val="-1"/>
        <w:w w:val="100"/>
        <w:sz w:val="22"/>
        <w:szCs w:val="22"/>
        <w:lang w:val="en-GB" w:eastAsia="en-GB" w:bidi="en-GB"/>
      </w:rPr>
    </w:lvl>
    <w:lvl w:ilvl="1" w:tplc="C1EE7A9A">
      <w:numFmt w:val="bullet"/>
      <w:lvlText w:val=""/>
      <w:lvlJc w:val="left"/>
      <w:pPr>
        <w:ind w:left="902" w:hanging="361"/>
      </w:pPr>
      <w:rPr>
        <w:rFonts w:ascii="Symbol" w:eastAsia="Symbol" w:hAnsi="Symbol" w:cs="Symbol" w:hint="default"/>
        <w:w w:val="100"/>
        <w:sz w:val="22"/>
        <w:szCs w:val="22"/>
        <w:lang w:val="en-GB" w:eastAsia="en-GB" w:bidi="en-GB"/>
      </w:rPr>
    </w:lvl>
    <w:lvl w:ilvl="2" w:tplc="0A78E2F0">
      <w:numFmt w:val="bullet"/>
      <w:lvlText w:val="o"/>
      <w:lvlJc w:val="left"/>
      <w:pPr>
        <w:ind w:left="2277" w:hanging="361"/>
      </w:pPr>
      <w:rPr>
        <w:rFonts w:ascii="Courier New" w:eastAsia="Courier New" w:hAnsi="Courier New" w:cs="Courier New" w:hint="default"/>
        <w:w w:val="100"/>
        <w:sz w:val="22"/>
        <w:szCs w:val="22"/>
        <w:lang w:val="en-GB" w:eastAsia="en-GB" w:bidi="en-GB"/>
      </w:rPr>
    </w:lvl>
    <w:lvl w:ilvl="3" w:tplc="D188F498">
      <w:numFmt w:val="bullet"/>
      <w:lvlText w:val="•"/>
      <w:lvlJc w:val="left"/>
      <w:pPr>
        <w:ind w:left="2280" w:hanging="361"/>
      </w:pPr>
      <w:rPr>
        <w:rFonts w:hint="default"/>
        <w:lang w:val="en-GB" w:eastAsia="en-GB" w:bidi="en-GB"/>
      </w:rPr>
    </w:lvl>
    <w:lvl w:ilvl="4" w:tplc="F60CEE88">
      <w:numFmt w:val="bullet"/>
      <w:lvlText w:val="•"/>
      <w:lvlJc w:val="left"/>
      <w:pPr>
        <w:ind w:left="3380" w:hanging="361"/>
      </w:pPr>
      <w:rPr>
        <w:rFonts w:hint="default"/>
        <w:lang w:val="en-GB" w:eastAsia="en-GB" w:bidi="en-GB"/>
      </w:rPr>
    </w:lvl>
    <w:lvl w:ilvl="5" w:tplc="8A08DE66">
      <w:numFmt w:val="bullet"/>
      <w:lvlText w:val="•"/>
      <w:lvlJc w:val="left"/>
      <w:pPr>
        <w:ind w:left="4481" w:hanging="361"/>
      </w:pPr>
      <w:rPr>
        <w:rFonts w:hint="default"/>
        <w:lang w:val="en-GB" w:eastAsia="en-GB" w:bidi="en-GB"/>
      </w:rPr>
    </w:lvl>
    <w:lvl w:ilvl="6" w:tplc="7960D66A">
      <w:numFmt w:val="bullet"/>
      <w:lvlText w:val="•"/>
      <w:lvlJc w:val="left"/>
      <w:pPr>
        <w:ind w:left="5582" w:hanging="361"/>
      </w:pPr>
      <w:rPr>
        <w:rFonts w:hint="default"/>
        <w:lang w:val="en-GB" w:eastAsia="en-GB" w:bidi="en-GB"/>
      </w:rPr>
    </w:lvl>
    <w:lvl w:ilvl="7" w:tplc="1A128DC8">
      <w:numFmt w:val="bullet"/>
      <w:lvlText w:val="•"/>
      <w:lvlJc w:val="left"/>
      <w:pPr>
        <w:ind w:left="6683" w:hanging="361"/>
      </w:pPr>
      <w:rPr>
        <w:rFonts w:hint="default"/>
        <w:lang w:val="en-GB" w:eastAsia="en-GB" w:bidi="en-GB"/>
      </w:rPr>
    </w:lvl>
    <w:lvl w:ilvl="8" w:tplc="BD8E6566">
      <w:numFmt w:val="bullet"/>
      <w:lvlText w:val="•"/>
      <w:lvlJc w:val="left"/>
      <w:pPr>
        <w:ind w:left="7784" w:hanging="361"/>
      </w:pPr>
      <w:rPr>
        <w:rFonts w:hint="default"/>
        <w:lang w:val="en-GB" w:eastAsia="en-GB" w:bidi="en-GB"/>
      </w:rPr>
    </w:lvl>
  </w:abstractNum>
  <w:abstractNum w:abstractNumId="1" w15:restartNumberingAfterBreak="0">
    <w:nsid w:val="33051280"/>
    <w:multiLevelType w:val="hybridMultilevel"/>
    <w:tmpl w:val="FDD4458E"/>
    <w:lvl w:ilvl="0" w:tplc="DD14DD30">
      <w:numFmt w:val="bullet"/>
      <w:lvlText w:val=""/>
      <w:lvlJc w:val="left"/>
      <w:pPr>
        <w:ind w:left="831" w:hanging="356"/>
      </w:pPr>
      <w:rPr>
        <w:rFonts w:ascii="Symbol" w:eastAsia="Symbol" w:hAnsi="Symbol" w:cs="Symbol" w:hint="default"/>
        <w:w w:val="100"/>
        <w:sz w:val="22"/>
        <w:szCs w:val="22"/>
        <w:lang w:val="en-GB" w:eastAsia="en-GB" w:bidi="en-GB"/>
      </w:rPr>
    </w:lvl>
    <w:lvl w:ilvl="1" w:tplc="178CD9E6">
      <w:numFmt w:val="bullet"/>
      <w:lvlText w:val="o"/>
      <w:lvlJc w:val="left"/>
      <w:pPr>
        <w:ind w:left="1918" w:hanging="361"/>
      </w:pPr>
      <w:rPr>
        <w:rFonts w:ascii="Courier New" w:eastAsia="Courier New" w:hAnsi="Courier New" w:cs="Courier New" w:hint="default"/>
        <w:w w:val="100"/>
        <w:sz w:val="22"/>
        <w:szCs w:val="22"/>
        <w:lang w:val="en-GB" w:eastAsia="en-GB" w:bidi="en-GB"/>
      </w:rPr>
    </w:lvl>
    <w:lvl w:ilvl="2" w:tplc="FE48D088">
      <w:numFmt w:val="bullet"/>
      <w:lvlText w:val="•"/>
      <w:lvlJc w:val="left"/>
      <w:pPr>
        <w:ind w:left="2816" w:hanging="361"/>
      </w:pPr>
      <w:rPr>
        <w:rFonts w:hint="default"/>
        <w:lang w:val="en-GB" w:eastAsia="en-GB" w:bidi="en-GB"/>
      </w:rPr>
    </w:lvl>
    <w:lvl w:ilvl="3" w:tplc="98E4CC6E">
      <w:numFmt w:val="bullet"/>
      <w:lvlText w:val="•"/>
      <w:lvlJc w:val="left"/>
      <w:pPr>
        <w:ind w:left="3712" w:hanging="361"/>
      </w:pPr>
      <w:rPr>
        <w:rFonts w:hint="default"/>
        <w:lang w:val="en-GB" w:eastAsia="en-GB" w:bidi="en-GB"/>
      </w:rPr>
    </w:lvl>
    <w:lvl w:ilvl="4" w:tplc="479827A8">
      <w:numFmt w:val="bullet"/>
      <w:lvlText w:val="•"/>
      <w:lvlJc w:val="left"/>
      <w:pPr>
        <w:ind w:left="4608" w:hanging="361"/>
      </w:pPr>
      <w:rPr>
        <w:rFonts w:hint="default"/>
        <w:lang w:val="en-GB" w:eastAsia="en-GB" w:bidi="en-GB"/>
      </w:rPr>
    </w:lvl>
    <w:lvl w:ilvl="5" w:tplc="E5348EAE">
      <w:numFmt w:val="bullet"/>
      <w:lvlText w:val="•"/>
      <w:lvlJc w:val="left"/>
      <w:pPr>
        <w:ind w:left="5505" w:hanging="361"/>
      </w:pPr>
      <w:rPr>
        <w:rFonts w:hint="default"/>
        <w:lang w:val="en-GB" w:eastAsia="en-GB" w:bidi="en-GB"/>
      </w:rPr>
    </w:lvl>
    <w:lvl w:ilvl="6" w:tplc="43CEA6F4">
      <w:numFmt w:val="bullet"/>
      <w:lvlText w:val="•"/>
      <w:lvlJc w:val="left"/>
      <w:pPr>
        <w:ind w:left="6401" w:hanging="361"/>
      </w:pPr>
      <w:rPr>
        <w:rFonts w:hint="default"/>
        <w:lang w:val="en-GB" w:eastAsia="en-GB" w:bidi="en-GB"/>
      </w:rPr>
    </w:lvl>
    <w:lvl w:ilvl="7" w:tplc="790A0F76">
      <w:numFmt w:val="bullet"/>
      <w:lvlText w:val="•"/>
      <w:lvlJc w:val="left"/>
      <w:pPr>
        <w:ind w:left="7297" w:hanging="361"/>
      </w:pPr>
      <w:rPr>
        <w:rFonts w:hint="default"/>
        <w:lang w:val="en-GB" w:eastAsia="en-GB" w:bidi="en-GB"/>
      </w:rPr>
    </w:lvl>
    <w:lvl w:ilvl="8" w:tplc="6C9C0D88">
      <w:numFmt w:val="bullet"/>
      <w:lvlText w:val="•"/>
      <w:lvlJc w:val="left"/>
      <w:pPr>
        <w:ind w:left="8193"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8D"/>
    <w:rsid w:val="000D2505"/>
    <w:rsid w:val="000D79A5"/>
    <w:rsid w:val="0011693F"/>
    <w:rsid w:val="00170131"/>
    <w:rsid w:val="00203029"/>
    <w:rsid w:val="00283D4A"/>
    <w:rsid w:val="002C1538"/>
    <w:rsid w:val="002C3A46"/>
    <w:rsid w:val="002C4937"/>
    <w:rsid w:val="00307797"/>
    <w:rsid w:val="0032743A"/>
    <w:rsid w:val="00330B90"/>
    <w:rsid w:val="0035058D"/>
    <w:rsid w:val="00402780"/>
    <w:rsid w:val="00403DEE"/>
    <w:rsid w:val="004064D9"/>
    <w:rsid w:val="004A7AF5"/>
    <w:rsid w:val="005164D1"/>
    <w:rsid w:val="00536B84"/>
    <w:rsid w:val="0055573F"/>
    <w:rsid w:val="00562710"/>
    <w:rsid w:val="00563648"/>
    <w:rsid w:val="00570ED4"/>
    <w:rsid w:val="0059542D"/>
    <w:rsid w:val="006D5370"/>
    <w:rsid w:val="006D5A74"/>
    <w:rsid w:val="006F64D5"/>
    <w:rsid w:val="00733941"/>
    <w:rsid w:val="0076549C"/>
    <w:rsid w:val="007709F3"/>
    <w:rsid w:val="00776E89"/>
    <w:rsid w:val="007F3356"/>
    <w:rsid w:val="008B499F"/>
    <w:rsid w:val="008F3334"/>
    <w:rsid w:val="00932B02"/>
    <w:rsid w:val="009D7B1F"/>
    <w:rsid w:val="009E1154"/>
    <w:rsid w:val="00AC08A9"/>
    <w:rsid w:val="00BE0614"/>
    <w:rsid w:val="00BF4814"/>
    <w:rsid w:val="00C76140"/>
    <w:rsid w:val="00CC579A"/>
    <w:rsid w:val="00D161F4"/>
    <w:rsid w:val="00D33F1E"/>
    <w:rsid w:val="00D3598B"/>
    <w:rsid w:val="00DA68A8"/>
    <w:rsid w:val="00E2419F"/>
    <w:rsid w:val="00E55EC1"/>
    <w:rsid w:val="00ED35C5"/>
    <w:rsid w:val="00FC09C4"/>
    <w:rsid w:val="00FD0A47"/>
    <w:rsid w:val="00FF745F"/>
    <w:rsid w:val="06C40650"/>
    <w:rsid w:val="2407B16F"/>
    <w:rsid w:val="2F3B3FA9"/>
    <w:rsid w:val="38F9DBCE"/>
    <w:rsid w:val="3C249143"/>
    <w:rsid w:val="3C2ADD84"/>
    <w:rsid w:val="3D542EAF"/>
    <w:rsid w:val="3E66EB73"/>
    <w:rsid w:val="3F9E6D01"/>
    <w:rsid w:val="42C74C48"/>
    <w:rsid w:val="457C32F8"/>
    <w:rsid w:val="4EF290B7"/>
    <w:rsid w:val="5078A7AD"/>
    <w:rsid w:val="50FC1C27"/>
    <w:rsid w:val="54CDF341"/>
    <w:rsid w:val="606571CC"/>
    <w:rsid w:val="7760C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7561B"/>
  <w15:docId w15:val="{9C631483-0D79-4B2C-B5BD-1F37AFD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75" w:hanging="360"/>
      <w:outlineLvl w:val="0"/>
    </w:pPr>
    <w:rPr>
      <w:sz w:val="28"/>
      <w:szCs w:val="28"/>
    </w:rPr>
  </w:style>
  <w:style w:type="paragraph" w:styleId="Heading2">
    <w:name w:val="heading 2"/>
    <w:basedOn w:val="Normal"/>
    <w:next w:val="Normal"/>
    <w:link w:val="Heading2Char"/>
    <w:uiPriority w:val="9"/>
    <w:semiHidden/>
    <w:unhideWhenUsed/>
    <w:qFormat/>
    <w:rsid w:val="00D161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38" w:hanging="36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E1154"/>
    <w:rPr>
      <w:color w:val="0000FF" w:themeColor="hyperlink"/>
      <w:u w:val="single"/>
    </w:rPr>
  </w:style>
  <w:style w:type="table" w:styleId="TableGrid">
    <w:name w:val="Table Grid"/>
    <w:basedOn w:val="TableNormal"/>
    <w:uiPriority w:val="39"/>
    <w:rsid w:val="00776E8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41"/>
    <w:rPr>
      <w:rFonts w:ascii="Segoe UI" w:eastAsia="Calibri" w:hAnsi="Segoe UI" w:cs="Segoe UI"/>
      <w:sz w:val="18"/>
      <w:szCs w:val="18"/>
      <w:lang w:val="en-GB" w:eastAsia="en-GB" w:bidi="en-GB"/>
    </w:rPr>
  </w:style>
  <w:style w:type="character" w:styleId="CommentReference">
    <w:name w:val="annotation reference"/>
    <w:basedOn w:val="DefaultParagraphFont"/>
    <w:uiPriority w:val="99"/>
    <w:semiHidden/>
    <w:unhideWhenUsed/>
    <w:rsid w:val="00402780"/>
    <w:rPr>
      <w:sz w:val="16"/>
      <w:szCs w:val="16"/>
    </w:rPr>
  </w:style>
  <w:style w:type="paragraph" w:styleId="CommentText">
    <w:name w:val="annotation text"/>
    <w:basedOn w:val="Normal"/>
    <w:link w:val="CommentTextChar"/>
    <w:uiPriority w:val="99"/>
    <w:semiHidden/>
    <w:unhideWhenUsed/>
    <w:rsid w:val="00402780"/>
    <w:rPr>
      <w:sz w:val="20"/>
      <w:szCs w:val="20"/>
    </w:rPr>
  </w:style>
  <w:style w:type="character" w:customStyle="1" w:styleId="CommentTextChar">
    <w:name w:val="Comment Text Char"/>
    <w:basedOn w:val="DefaultParagraphFont"/>
    <w:link w:val="CommentText"/>
    <w:uiPriority w:val="99"/>
    <w:semiHidden/>
    <w:rsid w:val="0040278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02780"/>
    <w:rPr>
      <w:b/>
      <w:bCs/>
    </w:rPr>
  </w:style>
  <w:style w:type="character" w:customStyle="1" w:styleId="CommentSubjectChar">
    <w:name w:val="Comment Subject Char"/>
    <w:basedOn w:val="CommentTextChar"/>
    <w:link w:val="CommentSubject"/>
    <w:uiPriority w:val="99"/>
    <w:semiHidden/>
    <w:rsid w:val="00402780"/>
    <w:rPr>
      <w:rFonts w:ascii="Calibri" w:eastAsia="Calibri" w:hAnsi="Calibri" w:cs="Calibri"/>
      <w:b/>
      <w:bCs/>
      <w:sz w:val="20"/>
      <w:szCs w:val="20"/>
      <w:lang w:val="en-GB" w:eastAsia="en-GB" w:bidi="en-GB"/>
    </w:rPr>
  </w:style>
  <w:style w:type="paragraph" w:styleId="Header">
    <w:name w:val="header"/>
    <w:basedOn w:val="Normal"/>
    <w:link w:val="HeaderChar"/>
    <w:uiPriority w:val="99"/>
    <w:unhideWhenUsed/>
    <w:rsid w:val="00C76140"/>
    <w:pPr>
      <w:tabs>
        <w:tab w:val="center" w:pos="4513"/>
        <w:tab w:val="right" w:pos="9026"/>
      </w:tabs>
    </w:pPr>
  </w:style>
  <w:style w:type="character" w:customStyle="1" w:styleId="HeaderChar">
    <w:name w:val="Header Char"/>
    <w:basedOn w:val="DefaultParagraphFont"/>
    <w:link w:val="Header"/>
    <w:uiPriority w:val="99"/>
    <w:rsid w:val="00C76140"/>
    <w:rPr>
      <w:rFonts w:ascii="Calibri" w:eastAsia="Calibri" w:hAnsi="Calibri" w:cs="Calibri"/>
      <w:lang w:val="en-GB" w:eastAsia="en-GB" w:bidi="en-GB"/>
    </w:rPr>
  </w:style>
  <w:style w:type="paragraph" w:styleId="Footer">
    <w:name w:val="footer"/>
    <w:basedOn w:val="Normal"/>
    <w:link w:val="FooterChar"/>
    <w:uiPriority w:val="99"/>
    <w:unhideWhenUsed/>
    <w:rsid w:val="00C76140"/>
    <w:pPr>
      <w:tabs>
        <w:tab w:val="center" w:pos="4513"/>
        <w:tab w:val="right" w:pos="9026"/>
      </w:tabs>
    </w:pPr>
  </w:style>
  <w:style w:type="character" w:customStyle="1" w:styleId="FooterChar">
    <w:name w:val="Footer Char"/>
    <w:basedOn w:val="DefaultParagraphFont"/>
    <w:link w:val="Footer"/>
    <w:uiPriority w:val="99"/>
    <w:rsid w:val="00C76140"/>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932B02"/>
    <w:rPr>
      <w:color w:val="605E5C"/>
      <w:shd w:val="clear" w:color="auto" w:fill="E1DFDD"/>
    </w:rPr>
  </w:style>
  <w:style w:type="character" w:styleId="FollowedHyperlink">
    <w:name w:val="FollowedHyperlink"/>
    <w:basedOn w:val="DefaultParagraphFont"/>
    <w:uiPriority w:val="99"/>
    <w:semiHidden/>
    <w:unhideWhenUsed/>
    <w:rsid w:val="00932B02"/>
    <w:rPr>
      <w:color w:val="800080" w:themeColor="followedHyperlink"/>
      <w:u w:val="single"/>
    </w:rPr>
  </w:style>
  <w:style w:type="paragraph" w:styleId="NormalWeb">
    <w:name w:val="Normal (Web)"/>
    <w:basedOn w:val="Normal"/>
    <w:uiPriority w:val="99"/>
    <w:semiHidden/>
    <w:unhideWhenUsed/>
    <w:rsid w:val="007654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403DEE"/>
    <w:pPr>
      <w:widowControl/>
      <w:autoSpaceDE/>
      <w:autoSpaceDN/>
    </w:pPr>
    <w:rPr>
      <w:rFonts w:ascii="Calibri" w:eastAsia="Calibri" w:hAnsi="Calibri" w:cs="Calibri"/>
      <w:lang w:val="en-GB" w:eastAsia="en-GB" w:bidi="en-GB"/>
    </w:rPr>
  </w:style>
  <w:style w:type="character" w:customStyle="1" w:styleId="Heading2Char">
    <w:name w:val="Heading 2 Char"/>
    <w:basedOn w:val="DefaultParagraphFont"/>
    <w:link w:val="Heading2"/>
    <w:uiPriority w:val="9"/>
    <w:semiHidden/>
    <w:rsid w:val="00D161F4"/>
    <w:rPr>
      <w:rFonts w:asciiTheme="majorHAnsi" w:eastAsiaTheme="majorEastAsia" w:hAnsiTheme="majorHAnsi" w:cstheme="majorBidi"/>
      <w:color w:val="365F91" w:themeColor="accent1" w:themeShade="BF"/>
      <w:sz w:val="26"/>
      <w:szCs w:val="2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8159">
      <w:bodyDiv w:val="1"/>
      <w:marLeft w:val="0"/>
      <w:marRight w:val="0"/>
      <w:marTop w:val="0"/>
      <w:marBottom w:val="0"/>
      <w:divBdr>
        <w:top w:val="none" w:sz="0" w:space="0" w:color="auto"/>
        <w:left w:val="none" w:sz="0" w:space="0" w:color="auto"/>
        <w:bottom w:val="none" w:sz="0" w:space="0" w:color="auto"/>
        <w:right w:val="none" w:sz="0" w:space="0" w:color="auto"/>
      </w:divBdr>
    </w:div>
    <w:div w:id="1955288685">
      <w:bodyDiv w:val="1"/>
      <w:marLeft w:val="0"/>
      <w:marRight w:val="0"/>
      <w:marTop w:val="0"/>
      <w:marBottom w:val="0"/>
      <w:divBdr>
        <w:top w:val="none" w:sz="0" w:space="0" w:color="auto"/>
        <w:left w:val="none" w:sz="0" w:space="0" w:color="auto"/>
        <w:bottom w:val="none" w:sz="0" w:space="0" w:color="auto"/>
        <w:right w:val="none" w:sz="0" w:space="0" w:color="auto"/>
      </w:divBdr>
    </w:div>
    <w:div w:id="212441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es/jobs-and-careers/become-an-assessment-ib-educator/become-an-ib-examin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bo.org/es/jobs-and-careers/become-an-assessment-ib-educator/declaring-connections-with-a-sch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es/common-european-framework-reference-language-skil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o.org/contentassets/40baa9d7fb72482881be9a12f217f8a9/use-of-calculators-in-examinations-2020_s.pdf" TargetMode="External"/><Relationship Id="rId5" Type="http://schemas.openxmlformats.org/officeDocument/2006/relationships/numbering" Target="numbering.xml"/><Relationship Id="rId15" Type="http://schemas.openxmlformats.org/officeDocument/2006/relationships/hyperlink" Target="https://rm.coe.int/CoERMPublicCommonSearchServices/DisplayDCTMContent?documentId=090000168045bc7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CoERMPublicCommonSearchServices/DisplayDCTMContent?documentId=090000168045bc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D6D26DD8BD040A0E1A0B61B084D07" ma:contentTypeVersion="13" ma:contentTypeDescription="Create a new document." ma:contentTypeScope="" ma:versionID="de3732d51b6da0ac8d57a4af820d812f">
  <xsd:schema xmlns:xsd="http://www.w3.org/2001/XMLSchema" xmlns:xs="http://www.w3.org/2001/XMLSchema" xmlns:p="http://schemas.microsoft.com/office/2006/metadata/properties" xmlns:ns3="cace60d2-578f-4878-932a-cc1eec2788f5" xmlns:ns4="456d2a50-0c56-412c-9938-1a17e2aa9f41" targetNamespace="http://schemas.microsoft.com/office/2006/metadata/properties" ma:root="true" ma:fieldsID="0841a15b01e3582f458b71e23f1a3f8c" ns3:_="" ns4:_="">
    <xsd:import namespace="cace60d2-578f-4878-932a-cc1eec2788f5"/>
    <xsd:import namespace="456d2a50-0c56-412c-9938-1a17e2aa9f4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e60d2-578f-4878-932a-cc1eec2788f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d2a50-0c56-412c-9938-1a17e2aa9f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F132-E9F0-4D34-8F13-264F27B5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e60d2-578f-4878-932a-cc1eec2788f5"/>
    <ds:schemaRef ds:uri="456d2a50-0c56-412c-9938-1a17e2aa9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D3385-A00D-4805-87EA-9D8860CC30E8}">
  <ds:schemaRefs>
    <ds:schemaRef ds:uri="http://schemas.microsoft.com/sharepoint/v3/contenttype/forms"/>
  </ds:schemaRefs>
</ds:datastoreItem>
</file>

<file path=customXml/itemProps3.xml><?xml version="1.0" encoding="utf-8"?>
<ds:datastoreItem xmlns:ds="http://schemas.openxmlformats.org/officeDocument/2006/customXml" ds:itemID="{7A22D0A5-4EFD-4604-A178-4D44DC49F0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86E0D-E7C1-4579-8A21-F51CCB5C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Roberts</dc:creator>
  <cp:lastModifiedBy>Savannah Fecht</cp:lastModifiedBy>
  <cp:revision>11</cp:revision>
  <dcterms:created xsi:type="dcterms:W3CDTF">2022-10-03T07:42:00Z</dcterms:created>
  <dcterms:modified xsi:type="dcterms:W3CDTF">2022-10-03T08:12:00Z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Acrobat PDFMaker 19 for Word</vt:lpwstr>
  </property>
  <property fmtid="{D5CDD505-2E9C-101B-9397-08002B2CF9AE}" pid="4" name="LastSaved">
    <vt:filetime>2019-08-14T00:00:00Z</vt:filetime>
  </property>
  <property fmtid="{D5CDD505-2E9C-101B-9397-08002B2CF9AE}" pid="5" name="ContentTypeId">
    <vt:lpwstr>0x010100677D6D26DD8BD040A0E1A0B61B084D07</vt:lpwstr>
  </property>
</Properties>
</file>