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D53" w:rsidRPr="003B77F6" w:rsidRDefault="005F5D53" w:rsidP="005F5D53">
      <w:pPr>
        <w:pStyle w:val="Heading1"/>
        <w:rPr>
          <w:lang w:val="fr-FR"/>
        </w:rPr>
      </w:pPr>
      <w:bookmarkStart w:id="0" w:name="_GoBack"/>
      <w:r>
        <w:rPr>
          <w:lang w:val="fr"/>
        </w:rPr>
        <w:t xml:space="preserve">Le processus </w:t>
      </w:r>
      <w:proofErr w:type="gramStart"/>
      <w:r>
        <w:rPr>
          <w:lang w:val="fr"/>
        </w:rPr>
        <w:t>d’autorisation</w:t>
      </w:r>
      <w:r>
        <w:rPr>
          <w:lang w:val="fr"/>
        </w:rPr>
        <w:t>:</w:t>
      </w:r>
      <w:proofErr w:type="gramEnd"/>
      <w:r>
        <w:rPr>
          <w:lang w:val="fr"/>
        </w:rPr>
        <w:t xml:space="preserve"> comment élaborer votre calendrier</w:t>
      </w:r>
    </w:p>
    <w:bookmarkEnd w:id="0"/>
    <w:p w:rsidR="005F5D53" w:rsidRPr="003B77F6" w:rsidRDefault="005F5D53" w:rsidP="005F5D53">
      <w:pPr>
        <w:pStyle w:val="Body"/>
        <w:rPr>
          <w:lang w:val="fr-FR"/>
        </w:rPr>
      </w:pPr>
      <w:r>
        <w:rPr>
          <w:lang w:val="fr"/>
        </w:rPr>
        <w:t xml:space="preserve">Le processus d’autorisation est axé sur les établissements. Il les encourage à évoluer à leur rythme en leur donnant l’occasion d’établir leur propre calendrier en fonction de la réalisation satisfaisante des étapes à suivre. Le tableau ci-dessous présente les étapes principales du processus d’autorisation. Les établissements peuvent l’utiliser pour commencer à organiser leur calendrier de mise en œuvre. Les établissements travailleront en collaboration avec l’équipe de développement de l’IB pour mener à bien le calendrier prévu. Ils devront passer leur calendrier en revue avec leur consultant une fois que le statut d’établissement candidat leur est accordé, ainsi que tout au long du processus afin de suivre la progression de la mise en œuvre. </w:t>
      </w:r>
    </w:p>
    <w:tbl>
      <w:tblPr>
        <w:tblW w:w="0" w:type="auto"/>
        <w:tblCellMar>
          <w:left w:w="0" w:type="dxa"/>
          <w:right w:w="0" w:type="dxa"/>
        </w:tblCellMar>
        <w:tblLook w:val="04A0" w:firstRow="1" w:lastRow="0" w:firstColumn="1" w:lastColumn="0" w:noHBand="0" w:noVBand="1"/>
      </w:tblPr>
      <w:tblGrid>
        <w:gridCol w:w="3114"/>
        <w:gridCol w:w="3542"/>
        <w:gridCol w:w="2684"/>
      </w:tblGrid>
      <w:tr w:rsidR="005F5D53" w:rsidRPr="00F17F43" w:rsidTr="00972115">
        <w:trPr>
          <w:tblHeader/>
        </w:trPr>
        <w:tc>
          <w:tcPr>
            <w:tcW w:w="311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rsidR="005F5D53" w:rsidRPr="00F17F43" w:rsidRDefault="005F5D53" w:rsidP="00972115">
            <w:pPr>
              <w:pStyle w:val="Tableheader"/>
            </w:pPr>
            <w:r>
              <w:rPr>
                <w:bCs/>
                <w:lang w:val="fr"/>
              </w:rPr>
              <w:t>Étape importante</w:t>
            </w:r>
          </w:p>
        </w:tc>
        <w:tc>
          <w:tcPr>
            <w:tcW w:w="3542"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rsidR="005F5D53" w:rsidRPr="003B77F6" w:rsidRDefault="005F5D53" w:rsidP="00972115">
            <w:pPr>
              <w:pStyle w:val="Tableheader"/>
              <w:rPr>
                <w:lang w:val="fr-FR"/>
              </w:rPr>
            </w:pPr>
            <w:r>
              <w:rPr>
                <w:bCs/>
                <w:lang w:val="fr"/>
              </w:rPr>
              <w:t>Nombre de jours, semaines, mois ou années nécessaires</w:t>
            </w:r>
          </w:p>
        </w:tc>
        <w:tc>
          <w:tcPr>
            <w:tcW w:w="2684"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rsidR="005F5D53" w:rsidRPr="00F17F43" w:rsidRDefault="005F5D53" w:rsidP="00972115">
            <w:pPr>
              <w:pStyle w:val="Tableheader"/>
            </w:pPr>
            <w:r>
              <w:rPr>
                <w:bCs/>
                <w:lang w:val="fr"/>
              </w:rPr>
              <w:t>Calendrier de progression</w:t>
            </w:r>
          </w:p>
        </w:tc>
      </w:tr>
      <w:tr w:rsidR="005F5D53" w:rsidRPr="003B77F6" w:rsidTr="00972115">
        <w:trPr>
          <w:trHeight w:val="448"/>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5D53" w:rsidRPr="003B77F6" w:rsidRDefault="005F5D53" w:rsidP="00972115">
            <w:pPr>
              <w:pStyle w:val="Tablebody"/>
              <w:rPr>
                <w:lang w:val="fr-FR"/>
              </w:rPr>
            </w:pPr>
            <w:r>
              <w:rPr>
                <w:lang w:val="fr"/>
              </w:rPr>
              <w:t xml:space="preserve">Envoi de la manifestation d’intérêt. </w:t>
            </w:r>
          </w:p>
        </w:tc>
        <w:tc>
          <w:tcPr>
            <w:tcW w:w="3542" w:type="dxa"/>
            <w:tcBorders>
              <w:top w:val="nil"/>
              <w:left w:val="nil"/>
              <w:bottom w:val="single" w:sz="8" w:space="0" w:color="auto"/>
              <w:right w:val="single" w:sz="8" w:space="0" w:color="auto"/>
            </w:tcBorders>
            <w:tcMar>
              <w:top w:w="0" w:type="dxa"/>
              <w:left w:w="108" w:type="dxa"/>
              <w:bottom w:w="0" w:type="dxa"/>
              <w:right w:w="108" w:type="dxa"/>
            </w:tcMar>
            <w:hideMark/>
          </w:tcPr>
          <w:p w:rsidR="005F5D53" w:rsidRPr="003B77F6" w:rsidRDefault="005F5D53" w:rsidP="00972115">
            <w:pPr>
              <w:pStyle w:val="Tablebody"/>
              <w:rPr>
                <w:lang w:val="fr-FR"/>
              </w:rPr>
            </w:pPr>
          </w:p>
        </w:tc>
        <w:tc>
          <w:tcPr>
            <w:tcW w:w="2684" w:type="dxa"/>
            <w:tcBorders>
              <w:top w:val="nil"/>
              <w:left w:val="nil"/>
              <w:bottom w:val="single" w:sz="8"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p>
        </w:tc>
      </w:tr>
      <w:tr w:rsidR="005F5D53" w:rsidRPr="003B77F6" w:rsidTr="00972115">
        <w:trPr>
          <w:trHeight w:val="1125"/>
        </w:trPr>
        <w:tc>
          <w:tcPr>
            <w:tcW w:w="311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5F5D53" w:rsidRPr="003B77F6" w:rsidRDefault="005F5D53" w:rsidP="00972115">
            <w:pPr>
              <w:pStyle w:val="Tablebody"/>
              <w:rPr>
                <w:lang w:val="fr-FR"/>
              </w:rPr>
            </w:pPr>
            <w:r>
              <w:rPr>
                <w:lang w:val="fr"/>
              </w:rPr>
              <w:t>Communication au responsable du développement de la date à laquelle vous avez prévu d’envoyer la demande de candidature.</w:t>
            </w:r>
          </w:p>
          <w:p w:rsidR="005F5D53" w:rsidRPr="003B77F6" w:rsidRDefault="005F5D53" w:rsidP="00972115">
            <w:pPr>
              <w:pStyle w:val="Tablebody"/>
              <w:rPr>
                <w:lang w:val="fr-FR"/>
              </w:rPr>
            </w:pPr>
          </w:p>
        </w:tc>
        <w:tc>
          <w:tcPr>
            <w:tcW w:w="3542" w:type="dxa"/>
            <w:tcBorders>
              <w:top w:val="nil"/>
              <w:left w:val="nil"/>
              <w:bottom w:val="single" w:sz="4" w:space="0" w:color="auto"/>
              <w:right w:val="single" w:sz="8" w:space="0" w:color="auto"/>
            </w:tcBorders>
            <w:tcMar>
              <w:top w:w="0" w:type="dxa"/>
              <w:left w:w="108" w:type="dxa"/>
              <w:bottom w:w="0" w:type="dxa"/>
              <w:right w:w="108" w:type="dxa"/>
            </w:tcMar>
            <w:hideMark/>
          </w:tcPr>
          <w:p w:rsidR="005F5D53" w:rsidRPr="003B77F6" w:rsidRDefault="005F5D53" w:rsidP="00972115">
            <w:pPr>
              <w:pStyle w:val="Tablebody"/>
              <w:rPr>
                <w:lang w:val="fr-FR"/>
              </w:rPr>
            </w:pPr>
          </w:p>
        </w:tc>
        <w:tc>
          <w:tcPr>
            <w:tcW w:w="2684" w:type="dxa"/>
            <w:tcBorders>
              <w:top w:val="nil"/>
              <w:left w:val="nil"/>
              <w:bottom w:val="single" w:sz="4"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p>
        </w:tc>
      </w:tr>
      <w:tr w:rsidR="005F5D53" w:rsidRPr="003B77F6" w:rsidTr="00972115">
        <w:trPr>
          <w:trHeight w:val="345"/>
        </w:trPr>
        <w:tc>
          <w:tcPr>
            <w:tcW w:w="311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r>
              <w:rPr>
                <w:b/>
                <w:bCs/>
                <w:lang w:val="fr"/>
              </w:rPr>
              <w:t>Programme primaire (PP), Programme d’éducation intermédiaire (PEI), Programme du diplôme et Programme à orientation professionnelle (POP) mis en œuvre sans le Programme du diplôme uniquement :</w:t>
            </w:r>
            <w:r>
              <w:rPr>
                <w:lang w:val="fr"/>
              </w:rPr>
              <w:t xml:space="preserve"> le chef d’établissement participe à l’atelier de catégorie 1 obligatoire.</w:t>
            </w:r>
          </w:p>
          <w:p w:rsidR="005F5D53" w:rsidRPr="003B77F6" w:rsidRDefault="005F5D53" w:rsidP="00972115">
            <w:pPr>
              <w:pStyle w:val="Tablebody"/>
              <w:rPr>
                <w:lang w:val="fr-FR"/>
              </w:rPr>
            </w:pPr>
            <w:r>
              <w:rPr>
                <w:b/>
                <w:bCs/>
                <w:lang w:val="fr"/>
              </w:rPr>
              <w:t>POP mis en œuvre avec le Programme du diplôme uniquement :</w:t>
            </w:r>
            <w:r>
              <w:rPr>
                <w:lang w:val="fr"/>
              </w:rPr>
              <w:t xml:space="preserve"> le chef d’établissement participe à l’atelier obligatoire s’il n’y a pas déjà participé.</w:t>
            </w:r>
          </w:p>
        </w:tc>
        <w:tc>
          <w:tcPr>
            <w:tcW w:w="354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p>
        </w:tc>
        <w:tc>
          <w:tcPr>
            <w:tcW w:w="2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p>
        </w:tc>
      </w:tr>
      <w:tr w:rsidR="005F5D53" w:rsidRPr="003B77F6" w:rsidTr="00972115">
        <w:trPr>
          <w:trHeight w:val="450"/>
        </w:trPr>
        <w:tc>
          <w:tcPr>
            <w:tcW w:w="311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r>
              <w:rPr>
                <w:b/>
                <w:bCs/>
                <w:lang w:val="fr"/>
              </w:rPr>
              <w:t>PP, PEI, Programme du diplôme et POP mis en œuvre sans le Programme du diplôme uniquement :</w:t>
            </w:r>
            <w:r>
              <w:rPr>
                <w:lang w:val="fr"/>
              </w:rPr>
              <w:t xml:space="preserve"> paiement des frais de demande de candidature.</w:t>
            </w:r>
          </w:p>
          <w:p w:rsidR="005F5D53" w:rsidRPr="003B77F6" w:rsidRDefault="005F5D53" w:rsidP="00972115">
            <w:pPr>
              <w:pStyle w:val="Tablebody"/>
              <w:rPr>
                <w:lang w:val="fr-FR"/>
              </w:rPr>
            </w:pPr>
            <w:r>
              <w:rPr>
                <w:b/>
                <w:bCs/>
                <w:lang w:val="fr"/>
              </w:rPr>
              <w:t>POP mis en œuvre avec le Programme du diplôme uniquement :</w:t>
            </w:r>
            <w:r>
              <w:rPr>
                <w:lang w:val="fr"/>
              </w:rPr>
              <w:t xml:space="preserve"> paiement unique des frais de préautorisation.</w:t>
            </w:r>
          </w:p>
        </w:tc>
        <w:tc>
          <w:tcPr>
            <w:tcW w:w="3542"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r>
              <w:rPr>
                <w:lang w:val="fr"/>
              </w:rPr>
              <w:t>À régler avant d’envoyer votre demande de candidature.</w:t>
            </w:r>
          </w:p>
        </w:tc>
        <w:tc>
          <w:tcPr>
            <w:tcW w:w="2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p>
        </w:tc>
      </w:tr>
      <w:tr w:rsidR="005F5D53" w:rsidRPr="003B77F6" w:rsidTr="00972115">
        <w:trPr>
          <w:trHeight w:val="637"/>
        </w:trPr>
        <w:tc>
          <w:tcPr>
            <w:tcW w:w="311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5F5D53" w:rsidRPr="003B77F6" w:rsidRDefault="005F5D53" w:rsidP="00972115">
            <w:pPr>
              <w:pStyle w:val="Tablebody"/>
              <w:rPr>
                <w:lang w:val="fr-FR"/>
              </w:rPr>
            </w:pPr>
            <w:r>
              <w:rPr>
                <w:lang w:val="fr"/>
              </w:rPr>
              <w:lastRenderedPageBreak/>
              <w:t>Envoi de la demande de candidature.</w:t>
            </w:r>
          </w:p>
        </w:tc>
        <w:tc>
          <w:tcPr>
            <w:tcW w:w="3542" w:type="dxa"/>
            <w:tcBorders>
              <w:top w:val="nil"/>
              <w:left w:val="nil"/>
              <w:bottom w:val="single" w:sz="4" w:space="0" w:color="auto"/>
              <w:right w:val="single" w:sz="8" w:space="0" w:color="auto"/>
            </w:tcBorders>
            <w:tcMar>
              <w:top w:w="0" w:type="dxa"/>
              <w:left w:w="108" w:type="dxa"/>
              <w:bottom w:w="0" w:type="dxa"/>
              <w:right w:w="108" w:type="dxa"/>
            </w:tcMar>
            <w:hideMark/>
          </w:tcPr>
          <w:p w:rsidR="005F5D53" w:rsidRPr="003B77F6" w:rsidRDefault="005F5D53" w:rsidP="00972115">
            <w:pPr>
              <w:pStyle w:val="Tablebody"/>
              <w:rPr>
                <w:lang w:val="fr-FR"/>
              </w:rPr>
            </w:pPr>
          </w:p>
        </w:tc>
        <w:tc>
          <w:tcPr>
            <w:tcW w:w="2684" w:type="dxa"/>
            <w:tcBorders>
              <w:top w:val="nil"/>
              <w:left w:val="nil"/>
              <w:bottom w:val="single" w:sz="4"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p>
        </w:tc>
      </w:tr>
      <w:tr w:rsidR="005F5D53" w:rsidRPr="003B77F6" w:rsidTr="00972115">
        <w:trPr>
          <w:trHeight w:val="962"/>
        </w:trPr>
        <w:tc>
          <w:tcPr>
            <w:tcW w:w="311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r>
              <w:rPr>
                <w:b/>
                <w:bCs/>
                <w:lang w:val="fr"/>
              </w:rPr>
              <w:t>PEI et POP mis en œuvre sans le Programme du diplôme uniquement :</w:t>
            </w:r>
            <w:r>
              <w:rPr>
                <w:lang w:val="fr"/>
              </w:rPr>
              <w:t xml:space="preserve"> début du processus de programmation de l’atelier de lancement du programme au sein de l’établissement.</w:t>
            </w:r>
          </w:p>
        </w:tc>
        <w:tc>
          <w:tcPr>
            <w:tcW w:w="3542"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p>
        </w:tc>
        <w:tc>
          <w:tcPr>
            <w:tcW w:w="2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p>
        </w:tc>
      </w:tr>
      <w:tr w:rsidR="005F5D53" w:rsidRPr="00F17F43" w:rsidTr="00972115">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5D53" w:rsidRPr="003B77F6" w:rsidRDefault="005F5D53" w:rsidP="00972115">
            <w:pPr>
              <w:pStyle w:val="Tablebody"/>
              <w:rPr>
                <w:lang w:val="fr-FR"/>
              </w:rPr>
            </w:pPr>
            <w:r>
              <w:rPr>
                <w:lang w:val="fr"/>
              </w:rPr>
              <w:t>Remise à l’établissement du rapport de retour d’information sur la demande de candidature.</w:t>
            </w:r>
          </w:p>
        </w:tc>
        <w:tc>
          <w:tcPr>
            <w:tcW w:w="3542" w:type="dxa"/>
            <w:tcBorders>
              <w:top w:val="nil"/>
              <w:left w:val="nil"/>
              <w:bottom w:val="single" w:sz="8" w:space="0" w:color="auto"/>
              <w:right w:val="single" w:sz="8" w:space="0" w:color="auto"/>
            </w:tcBorders>
            <w:tcMar>
              <w:top w:w="0" w:type="dxa"/>
              <w:left w:w="108" w:type="dxa"/>
              <w:bottom w:w="0" w:type="dxa"/>
              <w:right w:w="108" w:type="dxa"/>
            </w:tcMar>
            <w:hideMark/>
          </w:tcPr>
          <w:p w:rsidR="005F5D53" w:rsidRPr="00F17F43" w:rsidRDefault="005F5D53" w:rsidP="00972115">
            <w:pPr>
              <w:pStyle w:val="Tablebody"/>
            </w:pPr>
            <w:r>
              <w:rPr>
                <w:lang w:val="fr"/>
              </w:rPr>
              <w:t>28 jours (maximum).</w:t>
            </w:r>
          </w:p>
        </w:tc>
        <w:tc>
          <w:tcPr>
            <w:tcW w:w="2684" w:type="dxa"/>
            <w:tcBorders>
              <w:top w:val="nil"/>
              <w:left w:val="nil"/>
              <w:bottom w:val="single" w:sz="8" w:space="0" w:color="auto"/>
              <w:right w:val="single" w:sz="8" w:space="0" w:color="auto"/>
            </w:tcBorders>
            <w:tcMar>
              <w:top w:w="0" w:type="dxa"/>
              <w:left w:w="108" w:type="dxa"/>
              <w:bottom w:w="0" w:type="dxa"/>
              <w:right w:w="108" w:type="dxa"/>
            </w:tcMar>
          </w:tcPr>
          <w:p w:rsidR="005F5D53" w:rsidRPr="00F17F43" w:rsidRDefault="005F5D53" w:rsidP="00972115">
            <w:pPr>
              <w:pStyle w:val="Tablebody"/>
            </w:pPr>
          </w:p>
        </w:tc>
      </w:tr>
      <w:tr w:rsidR="005F5D53" w:rsidRPr="00F17F43" w:rsidTr="00972115">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5D53" w:rsidRPr="003B77F6" w:rsidRDefault="005F5D53" w:rsidP="00972115">
            <w:pPr>
              <w:pStyle w:val="Tablebody"/>
              <w:rPr>
                <w:lang w:val="fr-FR"/>
              </w:rPr>
            </w:pPr>
            <w:r>
              <w:rPr>
                <w:lang w:val="fr"/>
              </w:rPr>
              <w:t>Envoi des preuves de la mise en œuvre des actions requises (le cas échéant).</w:t>
            </w:r>
          </w:p>
        </w:tc>
        <w:tc>
          <w:tcPr>
            <w:tcW w:w="3542" w:type="dxa"/>
            <w:tcBorders>
              <w:top w:val="nil"/>
              <w:left w:val="nil"/>
              <w:bottom w:val="single" w:sz="8" w:space="0" w:color="auto"/>
              <w:right w:val="single" w:sz="8" w:space="0" w:color="auto"/>
            </w:tcBorders>
            <w:tcMar>
              <w:top w:w="0" w:type="dxa"/>
              <w:left w:w="108" w:type="dxa"/>
              <w:bottom w:w="0" w:type="dxa"/>
              <w:right w:w="108" w:type="dxa"/>
            </w:tcMar>
            <w:hideMark/>
          </w:tcPr>
          <w:p w:rsidR="005F5D53" w:rsidRPr="00F17F43" w:rsidRDefault="005F5D53" w:rsidP="00972115">
            <w:pPr>
              <w:pStyle w:val="Tablebody"/>
            </w:pPr>
            <w:r>
              <w:rPr>
                <w:lang w:val="fr"/>
              </w:rPr>
              <w:t>14 jours (maximum).</w:t>
            </w:r>
          </w:p>
        </w:tc>
        <w:tc>
          <w:tcPr>
            <w:tcW w:w="2684" w:type="dxa"/>
            <w:tcBorders>
              <w:top w:val="nil"/>
              <w:left w:val="nil"/>
              <w:bottom w:val="single" w:sz="8" w:space="0" w:color="auto"/>
              <w:right w:val="single" w:sz="8" w:space="0" w:color="auto"/>
            </w:tcBorders>
            <w:tcMar>
              <w:top w:w="0" w:type="dxa"/>
              <w:left w:w="108" w:type="dxa"/>
              <w:bottom w:w="0" w:type="dxa"/>
              <w:right w:w="108" w:type="dxa"/>
            </w:tcMar>
          </w:tcPr>
          <w:p w:rsidR="005F5D53" w:rsidRPr="00F17F43" w:rsidRDefault="005F5D53" w:rsidP="00972115">
            <w:pPr>
              <w:pStyle w:val="Tablebody"/>
            </w:pPr>
          </w:p>
        </w:tc>
      </w:tr>
      <w:tr w:rsidR="005F5D53" w:rsidRPr="003B77F6" w:rsidTr="00972115">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5D53" w:rsidRPr="003B77F6" w:rsidRDefault="005F5D53" w:rsidP="00972115">
            <w:pPr>
              <w:pStyle w:val="Tablebody"/>
              <w:rPr>
                <w:lang w:val="fr-FR"/>
              </w:rPr>
            </w:pPr>
            <w:r>
              <w:rPr>
                <w:lang w:val="fr"/>
              </w:rPr>
              <w:t>Examen des preuves et des actions requises mises en œuvre, ou demande d’informations complémentaires (le cas échéant).</w:t>
            </w:r>
          </w:p>
        </w:tc>
        <w:tc>
          <w:tcPr>
            <w:tcW w:w="3542" w:type="dxa"/>
            <w:tcBorders>
              <w:top w:val="nil"/>
              <w:left w:val="nil"/>
              <w:bottom w:val="single" w:sz="8" w:space="0" w:color="auto"/>
              <w:right w:val="single" w:sz="8" w:space="0" w:color="auto"/>
            </w:tcBorders>
            <w:tcMar>
              <w:top w:w="0" w:type="dxa"/>
              <w:left w:w="108" w:type="dxa"/>
              <w:bottom w:w="0" w:type="dxa"/>
              <w:right w:w="108" w:type="dxa"/>
            </w:tcMar>
            <w:hideMark/>
          </w:tcPr>
          <w:p w:rsidR="005F5D53" w:rsidRPr="003B77F6" w:rsidRDefault="005F5D53" w:rsidP="00972115">
            <w:pPr>
              <w:pStyle w:val="Tablebody"/>
              <w:rPr>
                <w:lang w:val="fr-FR"/>
              </w:rPr>
            </w:pPr>
            <w:r>
              <w:rPr>
                <w:lang w:val="fr"/>
              </w:rPr>
              <w:t xml:space="preserve">14 jours (examen initial des preuves). </w:t>
            </w:r>
          </w:p>
          <w:p w:rsidR="005F5D53" w:rsidRPr="003B77F6" w:rsidRDefault="005F5D53" w:rsidP="00972115">
            <w:pPr>
              <w:pStyle w:val="Tablebody"/>
              <w:rPr>
                <w:lang w:val="fr-FR"/>
              </w:rPr>
            </w:pPr>
            <w:r>
              <w:rPr>
                <w:lang w:val="fr"/>
              </w:rPr>
              <w:t>Continuation du processus jusqu’à ce que toutes les actions requises aient été mises en œuvre.</w:t>
            </w:r>
          </w:p>
        </w:tc>
        <w:tc>
          <w:tcPr>
            <w:tcW w:w="2684" w:type="dxa"/>
            <w:tcBorders>
              <w:top w:val="nil"/>
              <w:left w:val="nil"/>
              <w:bottom w:val="single" w:sz="8"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p>
        </w:tc>
      </w:tr>
      <w:tr w:rsidR="005F5D53" w:rsidRPr="003B77F6" w:rsidTr="00972115">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5D53" w:rsidRPr="00F17F43" w:rsidRDefault="005F5D53" w:rsidP="00972115">
            <w:pPr>
              <w:pStyle w:val="Tablebody"/>
            </w:pPr>
            <w:r>
              <w:rPr>
                <w:lang w:val="fr"/>
              </w:rPr>
              <w:t>Statut d’établissement candidat accordé.</w:t>
            </w:r>
          </w:p>
        </w:tc>
        <w:tc>
          <w:tcPr>
            <w:tcW w:w="3542" w:type="dxa"/>
            <w:tcBorders>
              <w:top w:val="nil"/>
              <w:left w:val="nil"/>
              <w:bottom w:val="single" w:sz="8" w:space="0" w:color="auto"/>
              <w:right w:val="single" w:sz="8" w:space="0" w:color="auto"/>
            </w:tcBorders>
            <w:tcMar>
              <w:top w:w="0" w:type="dxa"/>
              <w:left w:w="108" w:type="dxa"/>
              <w:bottom w:w="0" w:type="dxa"/>
              <w:right w:w="108" w:type="dxa"/>
            </w:tcMar>
            <w:hideMark/>
          </w:tcPr>
          <w:p w:rsidR="005F5D53" w:rsidRPr="003B77F6" w:rsidRDefault="005F5D53" w:rsidP="00972115">
            <w:pPr>
              <w:pStyle w:val="Tablebody"/>
              <w:rPr>
                <w:lang w:val="fr-FR"/>
              </w:rPr>
            </w:pPr>
            <w:r>
              <w:rPr>
                <w:lang w:val="fr"/>
              </w:rPr>
              <w:t>1 jour.</w:t>
            </w:r>
          </w:p>
          <w:p w:rsidR="005F5D53" w:rsidRPr="003B77F6" w:rsidRDefault="005F5D53" w:rsidP="00972115">
            <w:pPr>
              <w:pStyle w:val="Tablebody"/>
              <w:rPr>
                <w:i/>
                <w:lang w:val="fr-FR"/>
              </w:rPr>
            </w:pPr>
            <w:r>
              <w:rPr>
                <w:b/>
                <w:bCs/>
                <w:lang w:val="fr"/>
              </w:rPr>
              <w:t>PP, PEI, Programme du diplôme et POP mis en œuvre sans le Programme du diplôme uniquement :</w:t>
            </w:r>
            <w:r>
              <w:rPr>
                <w:lang w:val="fr"/>
              </w:rPr>
              <w:t xml:space="preserve"> le premier jour du mois qui suit l’octroi du statut d’établissement candidat, l’établissement reçoit le montant des frais de candidature couvrant les services de traitement de la demande de candidature et de consultation. Ces frais seront facturés annuellement jusqu’à ce que l’établissement demande l’ouverture de sa demande de candidature.</w:t>
            </w:r>
          </w:p>
        </w:tc>
        <w:tc>
          <w:tcPr>
            <w:tcW w:w="2684" w:type="dxa"/>
            <w:tcBorders>
              <w:top w:val="nil"/>
              <w:left w:val="nil"/>
              <w:bottom w:val="single" w:sz="8"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p>
        </w:tc>
      </w:tr>
    </w:tbl>
    <w:p w:rsidR="005F5D53" w:rsidRPr="003B77F6" w:rsidRDefault="005F5D53" w:rsidP="005F5D53">
      <w:pPr>
        <w:pStyle w:val="Body"/>
        <w:rPr>
          <w:lang w:val="fr-FR"/>
        </w:rPr>
      </w:pPr>
    </w:p>
    <w:tbl>
      <w:tblPr>
        <w:tblW w:w="0" w:type="auto"/>
        <w:tblCellMar>
          <w:left w:w="0" w:type="dxa"/>
          <w:right w:w="0" w:type="dxa"/>
        </w:tblCellMar>
        <w:tblLook w:val="04A0" w:firstRow="1" w:lastRow="0" w:firstColumn="1" w:lastColumn="0" w:noHBand="0" w:noVBand="1"/>
      </w:tblPr>
      <w:tblGrid>
        <w:gridCol w:w="3161"/>
        <w:gridCol w:w="3454"/>
        <w:gridCol w:w="2725"/>
      </w:tblGrid>
      <w:tr w:rsidR="005F5D53" w:rsidRPr="00F17F43" w:rsidTr="00972115">
        <w:trPr>
          <w:tblHeader/>
        </w:trPr>
        <w:tc>
          <w:tcPr>
            <w:tcW w:w="316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rsidR="005F5D53" w:rsidRPr="00F17F43" w:rsidRDefault="005F5D53" w:rsidP="00972115">
            <w:pPr>
              <w:pStyle w:val="Tableheader"/>
            </w:pPr>
            <w:r>
              <w:rPr>
                <w:bCs/>
                <w:lang w:val="fr"/>
              </w:rPr>
              <w:t>Étape importante</w:t>
            </w:r>
          </w:p>
        </w:tc>
        <w:tc>
          <w:tcPr>
            <w:tcW w:w="3454"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rsidR="005F5D53" w:rsidRPr="003B77F6" w:rsidRDefault="005F5D53" w:rsidP="00972115">
            <w:pPr>
              <w:pStyle w:val="Tableheader"/>
              <w:rPr>
                <w:lang w:val="fr-FR"/>
              </w:rPr>
            </w:pPr>
            <w:r>
              <w:rPr>
                <w:bCs/>
                <w:lang w:val="fr"/>
              </w:rPr>
              <w:t>Nombre de jours, semaines, mois ou années nécessaires</w:t>
            </w:r>
          </w:p>
        </w:tc>
        <w:tc>
          <w:tcPr>
            <w:tcW w:w="2725"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rsidR="005F5D53" w:rsidRPr="00F17F43" w:rsidRDefault="005F5D53" w:rsidP="00972115">
            <w:pPr>
              <w:pStyle w:val="Tableheader"/>
            </w:pPr>
            <w:r>
              <w:rPr>
                <w:bCs/>
                <w:lang w:val="fr"/>
              </w:rPr>
              <w:t>Calendrier de progression</w:t>
            </w:r>
          </w:p>
        </w:tc>
      </w:tr>
      <w:tr w:rsidR="005F5D53" w:rsidRPr="003B77F6" w:rsidTr="00972115">
        <w:tc>
          <w:tcPr>
            <w:tcW w:w="3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5D53" w:rsidRPr="003B77F6" w:rsidRDefault="005F5D53" w:rsidP="00972115">
            <w:pPr>
              <w:pStyle w:val="Tablebody"/>
              <w:rPr>
                <w:lang w:val="fr-FR"/>
              </w:rPr>
            </w:pPr>
            <w:r>
              <w:rPr>
                <w:lang w:val="fr"/>
              </w:rPr>
              <w:t>Démarrage de la phase de candidature.</w:t>
            </w:r>
          </w:p>
        </w:tc>
        <w:tc>
          <w:tcPr>
            <w:tcW w:w="3454" w:type="dxa"/>
            <w:tcBorders>
              <w:top w:val="nil"/>
              <w:left w:val="nil"/>
              <w:bottom w:val="single" w:sz="8" w:space="0" w:color="auto"/>
              <w:right w:val="single" w:sz="8" w:space="0" w:color="auto"/>
            </w:tcBorders>
            <w:tcMar>
              <w:top w:w="0" w:type="dxa"/>
              <w:left w:w="108" w:type="dxa"/>
              <w:bottom w:w="0" w:type="dxa"/>
              <w:right w:w="108" w:type="dxa"/>
            </w:tcMar>
            <w:hideMark/>
          </w:tcPr>
          <w:p w:rsidR="005F5D53" w:rsidRPr="003B77F6" w:rsidRDefault="005F5D53" w:rsidP="00972115">
            <w:pPr>
              <w:pStyle w:val="Tablebody"/>
              <w:rPr>
                <w:lang w:val="fr-FR"/>
              </w:rPr>
            </w:pPr>
            <w:r>
              <w:rPr>
                <w:lang w:val="fr"/>
              </w:rPr>
              <w:t>Le jour où le statut d’établissement candidat est accordé.</w:t>
            </w:r>
          </w:p>
        </w:tc>
        <w:tc>
          <w:tcPr>
            <w:tcW w:w="2725" w:type="dxa"/>
            <w:tcBorders>
              <w:top w:val="nil"/>
              <w:left w:val="nil"/>
              <w:bottom w:val="single" w:sz="8"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p>
        </w:tc>
      </w:tr>
      <w:tr w:rsidR="005F5D53" w:rsidRPr="003B77F6" w:rsidTr="00972115">
        <w:trPr>
          <w:trHeight w:val="1267"/>
        </w:trPr>
        <w:tc>
          <w:tcPr>
            <w:tcW w:w="316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5F5D53" w:rsidRPr="003B77F6" w:rsidRDefault="005F5D53" w:rsidP="00972115">
            <w:pPr>
              <w:pStyle w:val="Tablebody"/>
              <w:rPr>
                <w:lang w:val="fr-FR"/>
              </w:rPr>
            </w:pPr>
            <w:r>
              <w:rPr>
                <w:lang w:val="fr"/>
              </w:rPr>
              <w:t>Réception de la lettre de bienvenue avec les coordonnées de votre responsable des relations avec l’IB pour le programme que vous avez choisi de mettre en œuvre.</w:t>
            </w:r>
          </w:p>
        </w:tc>
        <w:tc>
          <w:tcPr>
            <w:tcW w:w="3454" w:type="dxa"/>
            <w:tcBorders>
              <w:top w:val="nil"/>
              <w:left w:val="nil"/>
              <w:bottom w:val="single" w:sz="4" w:space="0" w:color="auto"/>
              <w:right w:val="single" w:sz="8" w:space="0" w:color="auto"/>
            </w:tcBorders>
            <w:tcMar>
              <w:top w:w="0" w:type="dxa"/>
              <w:left w:w="108" w:type="dxa"/>
              <w:bottom w:w="0" w:type="dxa"/>
              <w:right w:w="108" w:type="dxa"/>
            </w:tcMar>
            <w:hideMark/>
          </w:tcPr>
          <w:p w:rsidR="005F5D53" w:rsidRPr="003B77F6" w:rsidRDefault="005F5D53" w:rsidP="00972115">
            <w:pPr>
              <w:pStyle w:val="Tablebody"/>
              <w:rPr>
                <w:lang w:val="fr-FR"/>
              </w:rPr>
            </w:pPr>
            <w:r>
              <w:rPr>
                <w:lang w:val="fr"/>
              </w:rPr>
              <w:t>Le jour où le statut d’établissement candidat est accordé.</w:t>
            </w:r>
          </w:p>
        </w:tc>
        <w:tc>
          <w:tcPr>
            <w:tcW w:w="2725" w:type="dxa"/>
            <w:tcBorders>
              <w:top w:val="nil"/>
              <w:left w:val="nil"/>
              <w:bottom w:val="single" w:sz="4"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p>
        </w:tc>
      </w:tr>
      <w:tr w:rsidR="005F5D53" w:rsidRPr="003B77F6" w:rsidTr="00972115">
        <w:trPr>
          <w:trHeight w:val="315"/>
        </w:trPr>
        <w:tc>
          <w:tcPr>
            <w:tcW w:w="316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r>
              <w:rPr>
                <w:b/>
                <w:bCs/>
                <w:lang w:val="fr"/>
              </w:rPr>
              <w:t>PP et PEI uniquement :</w:t>
            </w:r>
            <w:r>
              <w:rPr>
                <w:lang w:val="fr"/>
              </w:rPr>
              <w:t xml:space="preserve"> début d’une année de période d’essai d’enseignement du programme.</w:t>
            </w:r>
          </w:p>
        </w:tc>
        <w:tc>
          <w:tcPr>
            <w:tcW w:w="345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r>
              <w:rPr>
                <w:lang w:val="fr"/>
              </w:rPr>
              <w:t>Le jour où le statut d’établissement candidat est accordé.</w:t>
            </w:r>
          </w:p>
        </w:tc>
        <w:tc>
          <w:tcPr>
            <w:tcW w:w="272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p>
        </w:tc>
      </w:tr>
      <w:tr w:rsidR="005F5D53" w:rsidRPr="003B77F6" w:rsidTr="00972115">
        <w:trPr>
          <w:trHeight w:val="908"/>
        </w:trPr>
        <w:tc>
          <w:tcPr>
            <w:tcW w:w="316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r>
              <w:rPr>
                <w:lang w:val="fr"/>
              </w:rPr>
              <w:lastRenderedPageBreak/>
              <w:t>Réception des coordonnées du consultant et début de la collaboration avec lui.</w:t>
            </w:r>
          </w:p>
        </w:tc>
        <w:tc>
          <w:tcPr>
            <w:tcW w:w="345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r>
              <w:rPr>
                <w:lang w:val="fr"/>
              </w:rPr>
              <w:t>1 à 14 jours (maximum) après l’octroi du statut d’établissement candidat.</w:t>
            </w:r>
          </w:p>
        </w:tc>
        <w:tc>
          <w:tcPr>
            <w:tcW w:w="272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p>
        </w:tc>
      </w:tr>
      <w:tr w:rsidR="005F5D53" w:rsidRPr="003B77F6" w:rsidTr="00972115">
        <w:trPr>
          <w:trHeight w:val="773"/>
        </w:trPr>
        <w:tc>
          <w:tcPr>
            <w:tcW w:w="316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r>
              <w:rPr>
                <w:b/>
                <w:bCs/>
                <w:lang w:val="fr"/>
              </w:rPr>
              <w:t>PP, PEI, Programme du diplôme et POP mis en œuvre sans le Programme du diplôme uniquement :</w:t>
            </w:r>
            <w:r>
              <w:rPr>
                <w:lang w:val="fr"/>
              </w:rPr>
              <w:t xml:space="preserve"> paiement des frais de candidature.</w:t>
            </w:r>
          </w:p>
        </w:tc>
        <w:tc>
          <w:tcPr>
            <w:tcW w:w="345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r>
              <w:rPr>
                <w:lang w:val="fr"/>
              </w:rPr>
              <w:t>30 jours (maximum) après réception de la facture.</w:t>
            </w:r>
          </w:p>
        </w:tc>
        <w:tc>
          <w:tcPr>
            <w:tcW w:w="272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p>
        </w:tc>
      </w:tr>
      <w:tr w:rsidR="005F5D53" w:rsidRPr="003B77F6" w:rsidTr="00972115">
        <w:trPr>
          <w:trHeight w:val="1080"/>
        </w:trPr>
        <w:tc>
          <w:tcPr>
            <w:tcW w:w="316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r>
              <w:rPr>
                <w:b/>
                <w:bCs/>
                <w:lang w:val="fr"/>
              </w:rPr>
              <w:t>PEI et POP mis en œuvre sans le Programme du diplôme uniquement :</w:t>
            </w:r>
            <w:r>
              <w:rPr>
                <w:lang w:val="fr"/>
              </w:rPr>
              <w:t xml:space="preserve"> fin de l’atelier de lancement du programme au sein de l’établissement.</w:t>
            </w:r>
          </w:p>
        </w:tc>
        <w:tc>
          <w:tcPr>
            <w:tcW w:w="345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p>
        </w:tc>
        <w:tc>
          <w:tcPr>
            <w:tcW w:w="272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p>
        </w:tc>
      </w:tr>
      <w:tr w:rsidR="005F5D53" w:rsidRPr="003B77F6" w:rsidTr="00972115">
        <w:trPr>
          <w:trHeight w:val="1412"/>
        </w:trPr>
        <w:tc>
          <w:tcPr>
            <w:tcW w:w="316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5F5D53" w:rsidRPr="00F17F43" w:rsidRDefault="005F5D53" w:rsidP="00972115">
            <w:pPr>
              <w:pStyle w:val="Tablebody"/>
            </w:pPr>
            <w:r>
              <w:rPr>
                <w:b/>
                <w:bCs/>
                <w:lang w:val="fr"/>
              </w:rPr>
              <w:t>PP, PEI, Programme du diplôme et POP mis en œuvre sans le Programme du diplôme uniquement :</w:t>
            </w:r>
            <w:r>
              <w:rPr>
                <w:lang w:val="fr"/>
              </w:rPr>
              <w:t xml:space="preserve"> programmation de la visite de consultation avec le consultant. Le consultant informe l’IB des dates retenues. </w:t>
            </w:r>
          </w:p>
        </w:tc>
        <w:tc>
          <w:tcPr>
            <w:tcW w:w="345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r>
              <w:rPr>
                <w:lang w:val="fr"/>
              </w:rPr>
              <w:t>Le consultant est tenu d’informer l’IB de ces dates au moins un mois avant le jour de la visite afin que son déplacement puisse être organisé.</w:t>
            </w:r>
          </w:p>
        </w:tc>
        <w:tc>
          <w:tcPr>
            <w:tcW w:w="272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p>
        </w:tc>
      </w:tr>
      <w:tr w:rsidR="005F5D53" w:rsidRPr="003B77F6" w:rsidTr="00972115">
        <w:trPr>
          <w:trHeight w:val="1035"/>
        </w:trPr>
        <w:tc>
          <w:tcPr>
            <w:tcW w:w="316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r>
              <w:rPr>
                <w:b/>
                <w:bCs/>
                <w:lang w:val="fr"/>
              </w:rPr>
              <w:t>PP, PEI, Programme du diplôme et POP mis en œuvre sans le Programme du diplôme uniquement :</w:t>
            </w:r>
            <w:r>
              <w:rPr>
                <w:lang w:val="fr"/>
              </w:rPr>
              <w:t xml:space="preserve"> fin de la visite de consultation. </w:t>
            </w:r>
          </w:p>
        </w:tc>
        <w:tc>
          <w:tcPr>
            <w:tcW w:w="345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p>
        </w:tc>
        <w:tc>
          <w:tcPr>
            <w:tcW w:w="272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p>
        </w:tc>
      </w:tr>
      <w:tr w:rsidR="005F5D53" w:rsidRPr="00F17F43" w:rsidTr="00972115">
        <w:trPr>
          <w:trHeight w:val="70"/>
        </w:trPr>
        <w:tc>
          <w:tcPr>
            <w:tcW w:w="316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r>
              <w:rPr>
                <w:b/>
                <w:bCs/>
                <w:lang w:val="fr"/>
              </w:rPr>
              <w:t>PP, PEI, Programme du diplôme et POP mis en œuvre sans le Programme du diplôme uniquement :</w:t>
            </w:r>
            <w:r>
              <w:rPr>
                <w:lang w:val="fr"/>
              </w:rPr>
              <w:t xml:space="preserve"> remise à l’établissement du rapport de la visite de consultation.</w:t>
            </w:r>
          </w:p>
        </w:tc>
        <w:tc>
          <w:tcPr>
            <w:tcW w:w="345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5F5D53" w:rsidRPr="00F17F43" w:rsidRDefault="005F5D53" w:rsidP="00972115">
            <w:pPr>
              <w:pStyle w:val="Tablebody"/>
            </w:pPr>
            <w:r>
              <w:rPr>
                <w:lang w:val="fr"/>
              </w:rPr>
              <w:t>35 jours (maximum).</w:t>
            </w:r>
          </w:p>
        </w:tc>
        <w:tc>
          <w:tcPr>
            <w:tcW w:w="272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5F5D53" w:rsidRPr="00F17F43" w:rsidRDefault="005F5D53" w:rsidP="00972115">
            <w:pPr>
              <w:pStyle w:val="Tablebody"/>
            </w:pPr>
          </w:p>
        </w:tc>
      </w:tr>
      <w:tr w:rsidR="005F5D53" w:rsidRPr="003B77F6" w:rsidTr="00972115">
        <w:trPr>
          <w:trHeight w:val="2775"/>
        </w:trPr>
        <w:tc>
          <w:tcPr>
            <w:tcW w:w="316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b/>
                <w:lang w:val="fr-FR"/>
              </w:rPr>
            </w:pPr>
            <w:r>
              <w:rPr>
                <w:lang w:val="fr"/>
              </w:rPr>
              <w:t>Détermination d’une date de fin de la période de consultation et de notification à l’IB de votre souhait d’ouverture de votre demande d’autorisation.</w:t>
            </w:r>
          </w:p>
        </w:tc>
        <w:tc>
          <w:tcPr>
            <w:tcW w:w="345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i/>
                <w:lang w:val="fr-FR"/>
              </w:rPr>
            </w:pPr>
            <w:r>
              <w:rPr>
                <w:b/>
                <w:bCs/>
                <w:lang w:val="fr"/>
              </w:rPr>
              <w:t>PP, PEI, Programme du diplôme et POP mis en œuvre sans le Programme du diplôme uniquement :</w:t>
            </w:r>
            <w:r>
              <w:rPr>
                <w:lang w:val="fr"/>
              </w:rPr>
              <w:t xml:space="preserve"> l’établissement recevra la facture des frais de candidature et de demande d’autorisation le premier jour du mois suivant l’ouverture de sa demande d’autorisation.  Ces frais seront facturés annuellement jusqu’à ce que l’établissement obtienne l’autorisation.</w:t>
            </w:r>
          </w:p>
        </w:tc>
        <w:tc>
          <w:tcPr>
            <w:tcW w:w="272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p>
        </w:tc>
      </w:tr>
      <w:tr w:rsidR="005F5D53" w:rsidRPr="003B77F6" w:rsidTr="00972115">
        <w:trPr>
          <w:trHeight w:val="428"/>
        </w:trPr>
        <w:tc>
          <w:tcPr>
            <w:tcW w:w="316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r>
              <w:rPr>
                <w:lang w:val="fr"/>
              </w:rPr>
              <w:t>Remise à l’établissement du rapport de fin de consultation.</w:t>
            </w:r>
          </w:p>
        </w:tc>
        <w:tc>
          <w:tcPr>
            <w:tcW w:w="345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r>
              <w:rPr>
                <w:lang w:val="fr"/>
              </w:rPr>
              <w:t>28 jours (maximum) après la date de fin de consultation.</w:t>
            </w:r>
          </w:p>
        </w:tc>
        <w:tc>
          <w:tcPr>
            <w:tcW w:w="272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p>
        </w:tc>
      </w:tr>
      <w:tr w:rsidR="005F5D53" w:rsidRPr="003B77F6" w:rsidTr="00972115">
        <w:trPr>
          <w:trHeight w:val="1043"/>
        </w:trPr>
        <w:tc>
          <w:tcPr>
            <w:tcW w:w="316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r>
              <w:rPr>
                <w:b/>
                <w:bCs/>
                <w:lang w:val="fr"/>
              </w:rPr>
              <w:t>PP et PEI uniquement :</w:t>
            </w:r>
            <w:r>
              <w:rPr>
                <w:lang w:val="fr"/>
              </w:rPr>
              <w:t xml:space="preserve"> au moins une année complète de période d’essai d’enseignement.</w:t>
            </w:r>
          </w:p>
        </w:tc>
        <w:tc>
          <w:tcPr>
            <w:tcW w:w="345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r>
              <w:rPr>
                <w:lang w:val="fr"/>
              </w:rPr>
              <w:t>Une année à compter de la date d’octroi du statut d’établissement candidat.</w:t>
            </w:r>
          </w:p>
        </w:tc>
        <w:tc>
          <w:tcPr>
            <w:tcW w:w="272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p>
        </w:tc>
      </w:tr>
      <w:tr w:rsidR="005F5D53" w:rsidRPr="003B77F6" w:rsidTr="00972115">
        <w:trPr>
          <w:trHeight w:val="1277"/>
        </w:trPr>
        <w:tc>
          <w:tcPr>
            <w:tcW w:w="316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r>
              <w:rPr>
                <w:b/>
                <w:bCs/>
                <w:lang w:val="fr"/>
              </w:rPr>
              <w:lastRenderedPageBreak/>
              <w:t>PP, PEI, Programme du diplôme et POP mis en œuvre sans le Programme du diplôme uniquement :</w:t>
            </w:r>
            <w:r>
              <w:rPr>
                <w:lang w:val="fr"/>
              </w:rPr>
              <w:t xml:space="preserve"> paiement des frais des services liés à la candidature et à la demande d’autorisation.</w:t>
            </w:r>
          </w:p>
        </w:tc>
        <w:tc>
          <w:tcPr>
            <w:tcW w:w="345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r>
              <w:rPr>
                <w:lang w:val="fr"/>
              </w:rPr>
              <w:t>30 jours (maximum) après réception de la facture.</w:t>
            </w:r>
          </w:p>
        </w:tc>
        <w:tc>
          <w:tcPr>
            <w:tcW w:w="272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p>
        </w:tc>
      </w:tr>
      <w:tr w:rsidR="005F5D53" w:rsidRPr="003B77F6" w:rsidTr="00972115">
        <w:trPr>
          <w:trHeight w:val="645"/>
        </w:trPr>
        <w:tc>
          <w:tcPr>
            <w:tcW w:w="3161"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r>
              <w:rPr>
                <w:lang w:val="fr"/>
              </w:rPr>
              <w:t>Installations prêtes et personnel en place.</w:t>
            </w:r>
          </w:p>
        </w:tc>
        <w:tc>
          <w:tcPr>
            <w:tcW w:w="3454" w:type="dxa"/>
            <w:tcBorders>
              <w:top w:val="nil"/>
              <w:left w:val="nil"/>
              <w:bottom w:val="single" w:sz="4"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p>
        </w:tc>
        <w:tc>
          <w:tcPr>
            <w:tcW w:w="2725" w:type="dxa"/>
            <w:tcBorders>
              <w:top w:val="nil"/>
              <w:left w:val="nil"/>
              <w:bottom w:val="single" w:sz="4"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p>
        </w:tc>
      </w:tr>
      <w:tr w:rsidR="005F5D53" w:rsidRPr="003B77F6" w:rsidTr="00972115">
        <w:trPr>
          <w:trHeight w:val="255"/>
        </w:trPr>
        <w:tc>
          <w:tcPr>
            <w:tcW w:w="316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r>
              <w:rPr>
                <w:lang w:val="fr"/>
              </w:rPr>
              <w:t>Formations de perfectionnement professionnel obligatoires terminées.</w:t>
            </w:r>
          </w:p>
        </w:tc>
        <w:tc>
          <w:tcPr>
            <w:tcW w:w="345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p>
        </w:tc>
        <w:tc>
          <w:tcPr>
            <w:tcW w:w="272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p>
        </w:tc>
      </w:tr>
      <w:tr w:rsidR="005F5D53" w:rsidRPr="003B77F6" w:rsidTr="00972115">
        <w:trPr>
          <w:trHeight w:val="825"/>
        </w:trPr>
        <w:tc>
          <w:tcPr>
            <w:tcW w:w="316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r>
              <w:rPr>
                <w:lang w:val="fr"/>
              </w:rPr>
              <w:t>Envoi de la demande d’autorisation.</w:t>
            </w:r>
          </w:p>
        </w:tc>
        <w:tc>
          <w:tcPr>
            <w:tcW w:w="345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r>
              <w:rPr>
                <w:lang w:val="fr"/>
              </w:rPr>
              <w:t>Les établissements sont invités à envoyer leur demande d’autorisation au moins un mois après la date de fin de la période de consultation, afin qu’ils disposent du retour d’information du rapport de fin de consultation soit fourni avant l’envoi de leur demande.</w:t>
            </w:r>
          </w:p>
        </w:tc>
        <w:tc>
          <w:tcPr>
            <w:tcW w:w="272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p>
        </w:tc>
      </w:tr>
      <w:tr w:rsidR="005F5D53" w:rsidRPr="00F17F43" w:rsidTr="00972115">
        <w:tc>
          <w:tcPr>
            <w:tcW w:w="3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5D53" w:rsidRPr="003B77F6" w:rsidRDefault="005F5D53" w:rsidP="00972115">
            <w:pPr>
              <w:pStyle w:val="Tablebody"/>
              <w:rPr>
                <w:lang w:val="fr-FR"/>
              </w:rPr>
            </w:pPr>
            <w:r>
              <w:rPr>
                <w:lang w:val="fr"/>
              </w:rPr>
              <w:t>Remise à l’établissement du rapport de retour d’information sur la demande d’autorisation.</w:t>
            </w:r>
          </w:p>
        </w:tc>
        <w:tc>
          <w:tcPr>
            <w:tcW w:w="3454" w:type="dxa"/>
            <w:tcBorders>
              <w:top w:val="nil"/>
              <w:left w:val="nil"/>
              <w:bottom w:val="single" w:sz="8" w:space="0" w:color="auto"/>
              <w:right w:val="single" w:sz="8" w:space="0" w:color="auto"/>
            </w:tcBorders>
            <w:tcMar>
              <w:top w:w="0" w:type="dxa"/>
              <w:left w:w="108" w:type="dxa"/>
              <w:bottom w:w="0" w:type="dxa"/>
              <w:right w:w="108" w:type="dxa"/>
            </w:tcMar>
            <w:hideMark/>
          </w:tcPr>
          <w:p w:rsidR="005F5D53" w:rsidRPr="00F17F43" w:rsidRDefault="005F5D53" w:rsidP="00972115">
            <w:pPr>
              <w:pStyle w:val="Tablebody"/>
            </w:pPr>
            <w:r>
              <w:rPr>
                <w:lang w:val="fr"/>
              </w:rPr>
              <w:t>42 jours (maximum).</w:t>
            </w:r>
          </w:p>
        </w:tc>
        <w:tc>
          <w:tcPr>
            <w:tcW w:w="2725" w:type="dxa"/>
            <w:tcBorders>
              <w:top w:val="nil"/>
              <w:left w:val="nil"/>
              <w:bottom w:val="single" w:sz="8" w:space="0" w:color="auto"/>
              <w:right w:val="single" w:sz="8" w:space="0" w:color="auto"/>
            </w:tcBorders>
            <w:tcMar>
              <w:top w:w="0" w:type="dxa"/>
              <w:left w:w="108" w:type="dxa"/>
              <w:bottom w:w="0" w:type="dxa"/>
              <w:right w:w="108" w:type="dxa"/>
            </w:tcMar>
          </w:tcPr>
          <w:p w:rsidR="005F5D53" w:rsidRPr="00F17F43" w:rsidRDefault="005F5D53" w:rsidP="00972115">
            <w:pPr>
              <w:pStyle w:val="Tablebody"/>
            </w:pPr>
          </w:p>
        </w:tc>
      </w:tr>
      <w:tr w:rsidR="005F5D53" w:rsidRPr="00F17F43" w:rsidTr="00972115">
        <w:trPr>
          <w:trHeight w:val="637"/>
        </w:trPr>
        <w:tc>
          <w:tcPr>
            <w:tcW w:w="316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5F5D53" w:rsidRPr="003B77F6" w:rsidRDefault="005F5D53" w:rsidP="00972115">
            <w:pPr>
              <w:pStyle w:val="Tablebody"/>
              <w:rPr>
                <w:lang w:val="fr-FR"/>
              </w:rPr>
            </w:pPr>
            <w:r>
              <w:rPr>
                <w:lang w:val="fr"/>
              </w:rPr>
              <w:t>Réception des informations pour la planification de la visite de vérification dans l’établissement.</w:t>
            </w:r>
          </w:p>
        </w:tc>
        <w:tc>
          <w:tcPr>
            <w:tcW w:w="3454" w:type="dxa"/>
            <w:tcBorders>
              <w:top w:val="nil"/>
              <w:left w:val="nil"/>
              <w:bottom w:val="single" w:sz="4" w:space="0" w:color="auto"/>
              <w:right w:val="single" w:sz="8" w:space="0" w:color="auto"/>
            </w:tcBorders>
            <w:tcMar>
              <w:top w:w="0" w:type="dxa"/>
              <w:left w:w="108" w:type="dxa"/>
              <w:bottom w:w="0" w:type="dxa"/>
              <w:right w:w="108" w:type="dxa"/>
            </w:tcMar>
            <w:hideMark/>
          </w:tcPr>
          <w:p w:rsidR="005F5D53" w:rsidRPr="00F17F43" w:rsidRDefault="005F5D53" w:rsidP="00972115">
            <w:pPr>
              <w:pStyle w:val="Tablebody"/>
            </w:pPr>
            <w:r>
              <w:rPr>
                <w:lang w:val="fr"/>
              </w:rPr>
              <w:t>1 jour.</w:t>
            </w:r>
          </w:p>
        </w:tc>
        <w:tc>
          <w:tcPr>
            <w:tcW w:w="2725" w:type="dxa"/>
            <w:tcBorders>
              <w:top w:val="nil"/>
              <w:left w:val="nil"/>
              <w:bottom w:val="single" w:sz="4" w:space="0" w:color="auto"/>
              <w:right w:val="single" w:sz="8" w:space="0" w:color="auto"/>
            </w:tcBorders>
            <w:tcMar>
              <w:top w:w="0" w:type="dxa"/>
              <w:left w:w="108" w:type="dxa"/>
              <w:bottom w:w="0" w:type="dxa"/>
              <w:right w:w="108" w:type="dxa"/>
            </w:tcMar>
            <w:hideMark/>
          </w:tcPr>
          <w:p w:rsidR="005F5D53" w:rsidRPr="00F17F43" w:rsidRDefault="005F5D53" w:rsidP="00972115">
            <w:pPr>
              <w:pStyle w:val="Tablebody"/>
            </w:pPr>
          </w:p>
        </w:tc>
      </w:tr>
      <w:tr w:rsidR="005F5D53" w:rsidRPr="003B77F6" w:rsidTr="00972115">
        <w:trPr>
          <w:trHeight w:val="2078"/>
        </w:trPr>
        <w:tc>
          <w:tcPr>
            <w:tcW w:w="316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r>
              <w:rPr>
                <w:lang w:val="fr"/>
              </w:rPr>
              <w:t>Envoi des informations pour la planification de la visite de vérification dans l’établissement.</w:t>
            </w:r>
          </w:p>
        </w:tc>
        <w:tc>
          <w:tcPr>
            <w:tcW w:w="345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r>
              <w:rPr>
                <w:lang w:val="fr"/>
              </w:rPr>
              <w:t xml:space="preserve">Les dates proposées pour la visite de vérification doivent être programmées au moins six semaines après la date d’envoi des informations pour la planification de cette visite. Vous serez invités à fournir trois propositions de dates pour trois mois différents. </w:t>
            </w:r>
          </w:p>
        </w:tc>
        <w:tc>
          <w:tcPr>
            <w:tcW w:w="272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p>
        </w:tc>
      </w:tr>
      <w:tr w:rsidR="005F5D53" w:rsidRPr="00F17F43" w:rsidTr="00972115">
        <w:tc>
          <w:tcPr>
            <w:tcW w:w="3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5D53" w:rsidRPr="003B77F6" w:rsidRDefault="005F5D53" w:rsidP="00972115">
            <w:pPr>
              <w:pStyle w:val="Tablebody"/>
              <w:rPr>
                <w:lang w:val="fr-FR"/>
              </w:rPr>
            </w:pPr>
            <w:r>
              <w:rPr>
                <w:lang w:val="fr"/>
              </w:rPr>
              <w:t>Envoi des preuves de la mise en œuvre des actions requises (le cas échéant).</w:t>
            </w:r>
          </w:p>
        </w:tc>
        <w:tc>
          <w:tcPr>
            <w:tcW w:w="3454" w:type="dxa"/>
            <w:tcBorders>
              <w:top w:val="nil"/>
              <w:left w:val="nil"/>
              <w:bottom w:val="single" w:sz="8" w:space="0" w:color="auto"/>
              <w:right w:val="single" w:sz="8" w:space="0" w:color="auto"/>
            </w:tcBorders>
            <w:tcMar>
              <w:top w:w="0" w:type="dxa"/>
              <w:left w:w="108" w:type="dxa"/>
              <w:bottom w:w="0" w:type="dxa"/>
              <w:right w:w="108" w:type="dxa"/>
            </w:tcMar>
            <w:hideMark/>
          </w:tcPr>
          <w:p w:rsidR="005F5D53" w:rsidRPr="00F17F43" w:rsidRDefault="005F5D53" w:rsidP="00972115">
            <w:pPr>
              <w:pStyle w:val="Tablebody"/>
            </w:pPr>
            <w:r>
              <w:rPr>
                <w:lang w:val="fr"/>
              </w:rPr>
              <w:t>14 jours (maximum).</w:t>
            </w:r>
          </w:p>
        </w:tc>
        <w:tc>
          <w:tcPr>
            <w:tcW w:w="2725" w:type="dxa"/>
            <w:tcBorders>
              <w:top w:val="nil"/>
              <w:left w:val="nil"/>
              <w:bottom w:val="single" w:sz="8" w:space="0" w:color="auto"/>
              <w:right w:val="single" w:sz="8" w:space="0" w:color="auto"/>
            </w:tcBorders>
            <w:tcMar>
              <w:top w:w="0" w:type="dxa"/>
              <w:left w:w="108" w:type="dxa"/>
              <w:bottom w:w="0" w:type="dxa"/>
              <w:right w:w="108" w:type="dxa"/>
            </w:tcMar>
          </w:tcPr>
          <w:p w:rsidR="005F5D53" w:rsidRPr="00F17F43" w:rsidRDefault="005F5D53" w:rsidP="00972115">
            <w:pPr>
              <w:pStyle w:val="Tablebody"/>
            </w:pPr>
          </w:p>
        </w:tc>
      </w:tr>
      <w:tr w:rsidR="005F5D53" w:rsidRPr="003B77F6" w:rsidTr="00972115">
        <w:trPr>
          <w:trHeight w:val="990"/>
        </w:trPr>
        <w:tc>
          <w:tcPr>
            <w:tcW w:w="316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5F5D53" w:rsidRPr="003B77F6" w:rsidRDefault="005F5D53" w:rsidP="00972115">
            <w:pPr>
              <w:pStyle w:val="Tablebody"/>
              <w:rPr>
                <w:lang w:val="fr-FR"/>
              </w:rPr>
            </w:pPr>
            <w:r>
              <w:rPr>
                <w:lang w:val="fr"/>
              </w:rPr>
              <w:t>Examen des preuves et des actions requises mises en œuvre, ou demande d’informations complémentaires (le cas échéant).</w:t>
            </w:r>
          </w:p>
        </w:tc>
        <w:tc>
          <w:tcPr>
            <w:tcW w:w="3454" w:type="dxa"/>
            <w:tcBorders>
              <w:top w:val="nil"/>
              <w:left w:val="nil"/>
              <w:bottom w:val="single" w:sz="4" w:space="0" w:color="auto"/>
              <w:right w:val="single" w:sz="8" w:space="0" w:color="auto"/>
            </w:tcBorders>
            <w:tcMar>
              <w:top w:w="0" w:type="dxa"/>
              <w:left w:w="108" w:type="dxa"/>
              <w:bottom w:w="0" w:type="dxa"/>
              <w:right w:w="108" w:type="dxa"/>
            </w:tcMar>
            <w:hideMark/>
          </w:tcPr>
          <w:p w:rsidR="005F5D53" w:rsidRPr="003B77F6" w:rsidRDefault="005F5D53" w:rsidP="00972115">
            <w:pPr>
              <w:pStyle w:val="Tablebody"/>
              <w:rPr>
                <w:lang w:val="fr-FR"/>
              </w:rPr>
            </w:pPr>
            <w:r>
              <w:rPr>
                <w:lang w:val="fr"/>
              </w:rPr>
              <w:t xml:space="preserve">14 jours (examen initial des preuves). </w:t>
            </w:r>
          </w:p>
          <w:p w:rsidR="005F5D53" w:rsidRPr="003B77F6" w:rsidRDefault="005F5D53" w:rsidP="00972115">
            <w:pPr>
              <w:pStyle w:val="Tablebody"/>
              <w:rPr>
                <w:lang w:val="fr-FR"/>
              </w:rPr>
            </w:pPr>
            <w:r>
              <w:rPr>
                <w:lang w:val="fr"/>
              </w:rPr>
              <w:t>Continuation du processus jusqu’à ce que toutes les actions requises aient été mises en œuvre.</w:t>
            </w:r>
          </w:p>
        </w:tc>
        <w:tc>
          <w:tcPr>
            <w:tcW w:w="2725" w:type="dxa"/>
            <w:tcBorders>
              <w:top w:val="nil"/>
              <w:left w:val="nil"/>
              <w:bottom w:val="single" w:sz="4"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p>
        </w:tc>
      </w:tr>
      <w:tr w:rsidR="005F5D53" w:rsidRPr="003B77F6" w:rsidTr="00972115">
        <w:tc>
          <w:tcPr>
            <w:tcW w:w="3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5D53" w:rsidRPr="003B77F6" w:rsidRDefault="005F5D53" w:rsidP="00972115">
            <w:pPr>
              <w:pStyle w:val="Tablebody"/>
              <w:rPr>
                <w:lang w:val="fr-FR"/>
              </w:rPr>
            </w:pPr>
            <w:r>
              <w:rPr>
                <w:lang w:val="fr"/>
              </w:rPr>
              <w:t>Confirmation de la visite de vérification.</w:t>
            </w:r>
          </w:p>
        </w:tc>
        <w:tc>
          <w:tcPr>
            <w:tcW w:w="3454" w:type="dxa"/>
            <w:tcBorders>
              <w:top w:val="nil"/>
              <w:left w:val="nil"/>
              <w:bottom w:val="single" w:sz="8" w:space="0" w:color="auto"/>
              <w:right w:val="single" w:sz="8" w:space="0" w:color="auto"/>
            </w:tcBorders>
            <w:tcMar>
              <w:top w:w="0" w:type="dxa"/>
              <w:left w:w="108" w:type="dxa"/>
              <w:bottom w:w="0" w:type="dxa"/>
              <w:right w:w="108" w:type="dxa"/>
            </w:tcMar>
            <w:hideMark/>
          </w:tcPr>
          <w:p w:rsidR="005F5D53" w:rsidRPr="003B77F6" w:rsidRDefault="005F5D53" w:rsidP="00972115">
            <w:pPr>
              <w:pStyle w:val="Tablebody"/>
              <w:rPr>
                <w:lang w:val="fr-FR"/>
              </w:rPr>
            </w:pPr>
            <w:r>
              <w:rPr>
                <w:lang w:val="fr"/>
              </w:rPr>
              <w:t xml:space="preserve">La visite de vérification sera confirmée une fois que toutes les actions requises auront été mises en œuvre. Si les actions requises n’ont pas été mises en œuvre quatre semaines avant les dates proposées, la visite sera décalée. </w:t>
            </w:r>
          </w:p>
        </w:tc>
        <w:tc>
          <w:tcPr>
            <w:tcW w:w="2725" w:type="dxa"/>
            <w:tcBorders>
              <w:top w:val="nil"/>
              <w:left w:val="nil"/>
              <w:bottom w:val="single" w:sz="8"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p>
        </w:tc>
      </w:tr>
      <w:tr w:rsidR="005F5D53" w:rsidRPr="003B77F6" w:rsidTr="00972115">
        <w:tc>
          <w:tcPr>
            <w:tcW w:w="3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5D53" w:rsidRPr="003B77F6" w:rsidRDefault="005F5D53" w:rsidP="00972115">
            <w:pPr>
              <w:pStyle w:val="Tablebody"/>
              <w:rPr>
                <w:lang w:val="fr-FR"/>
              </w:rPr>
            </w:pPr>
            <w:r>
              <w:rPr>
                <w:lang w:val="fr"/>
              </w:rPr>
              <w:t>L’établissement scolaire prépare en interne la visite de vérification.</w:t>
            </w:r>
          </w:p>
        </w:tc>
        <w:tc>
          <w:tcPr>
            <w:tcW w:w="3454" w:type="dxa"/>
            <w:tcBorders>
              <w:top w:val="nil"/>
              <w:left w:val="nil"/>
              <w:bottom w:val="single" w:sz="8" w:space="0" w:color="auto"/>
              <w:right w:val="single" w:sz="8" w:space="0" w:color="auto"/>
            </w:tcBorders>
            <w:tcMar>
              <w:top w:w="0" w:type="dxa"/>
              <w:left w:w="108" w:type="dxa"/>
              <w:bottom w:w="0" w:type="dxa"/>
              <w:right w:w="108" w:type="dxa"/>
            </w:tcMar>
            <w:hideMark/>
          </w:tcPr>
          <w:p w:rsidR="005F5D53" w:rsidRPr="003B77F6" w:rsidRDefault="005F5D53" w:rsidP="00972115">
            <w:pPr>
              <w:pStyle w:val="Tablebody"/>
              <w:rPr>
                <w:lang w:val="fr-FR"/>
              </w:rPr>
            </w:pPr>
            <w:r>
              <w:rPr>
                <w:lang w:val="fr"/>
              </w:rPr>
              <w:t>Les informations relatives à l’organisation logistique seront fournies par l’IB.</w:t>
            </w:r>
          </w:p>
        </w:tc>
        <w:tc>
          <w:tcPr>
            <w:tcW w:w="2725" w:type="dxa"/>
            <w:tcBorders>
              <w:top w:val="nil"/>
              <w:left w:val="nil"/>
              <w:bottom w:val="single" w:sz="8"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p>
        </w:tc>
      </w:tr>
      <w:tr w:rsidR="005F5D53" w:rsidRPr="00F17F43" w:rsidTr="00972115">
        <w:tc>
          <w:tcPr>
            <w:tcW w:w="3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5D53" w:rsidRPr="00F17F43" w:rsidRDefault="005F5D53" w:rsidP="00972115">
            <w:pPr>
              <w:pStyle w:val="Tablebody"/>
            </w:pPr>
            <w:r>
              <w:rPr>
                <w:lang w:val="fr"/>
              </w:rPr>
              <w:lastRenderedPageBreak/>
              <w:t>Visite de vérification effectuée.</w:t>
            </w:r>
          </w:p>
        </w:tc>
        <w:tc>
          <w:tcPr>
            <w:tcW w:w="3454" w:type="dxa"/>
            <w:tcBorders>
              <w:top w:val="nil"/>
              <w:left w:val="nil"/>
              <w:bottom w:val="single" w:sz="8" w:space="0" w:color="auto"/>
              <w:right w:val="single" w:sz="8" w:space="0" w:color="auto"/>
            </w:tcBorders>
            <w:tcMar>
              <w:top w:w="0" w:type="dxa"/>
              <w:left w:w="108" w:type="dxa"/>
              <w:bottom w:w="0" w:type="dxa"/>
              <w:right w:w="108" w:type="dxa"/>
            </w:tcMar>
            <w:hideMark/>
          </w:tcPr>
          <w:p w:rsidR="005F5D53" w:rsidRPr="00F17F43" w:rsidRDefault="005F5D53" w:rsidP="00972115">
            <w:pPr>
              <w:pStyle w:val="Tablebody"/>
            </w:pPr>
          </w:p>
        </w:tc>
        <w:tc>
          <w:tcPr>
            <w:tcW w:w="2725" w:type="dxa"/>
            <w:tcBorders>
              <w:top w:val="nil"/>
              <w:left w:val="nil"/>
              <w:bottom w:val="single" w:sz="8" w:space="0" w:color="auto"/>
              <w:right w:val="single" w:sz="8" w:space="0" w:color="auto"/>
            </w:tcBorders>
            <w:tcMar>
              <w:top w:w="0" w:type="dxa"/>
              <w:left w:w="108" w:type="dxa"/>
              <w:bottom w:w="0" w:type="dxa"/>
              <w:right w:w="108" w:type="dxa"/>
            </w:tcMar>
          </w:tcPr>
          <w:p w:rsidR="005F5D53" w:rsidRPr="00F17F43" w:rsidRDefault="005F5D53" w:rsidP="00972115">
            <w:pPr>
              <w:pStyle w:val="Tablebody"/>
            </w:pPr>
          </w:p>
        </w:tc>
      </w:tr>
      <w:tr w:rsidR="005F5D53" w:rsidRPr="00F17F43" w:rsidTr="00972115">
        <w:tc>
          <w:tcPr>
            <w:tcW w:w="3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5D53" w:rsidRPr="003B77F6" w:rsidRDefault="005F5D53" w:rsidP="00972115">
            <w:pPr>
              <w:pStyle w:val="Tablebody"/>
              <w:rPr>
                <w:lang w:val="fr-FR"/>
              </w:rPr>
            </w:pPr>
            <w:r>
              <w:rPr>
                <w:lang w:val="fr"/>
              </w:rPr>
              <w:t>Remise à l’établissement du rapport de retour d’information sur la visite de vérification.</w:t>
            </w:r>
          </w:p>
        </w:tc>
        <w:tc>
          <w:tcPr>
            <w:tcW w:w="3454" w:type="dxa"/>
            <w:tcBorders>
              <w:top w:val="nil"/>
              <w:left w:val="nil"/>
              <w:bottom w:val="single" w:sz="8" w:space="0" w:color="auto"/>
              <w:right w:val="single" w:sz="8" w:space="0" w:color="auto"/>
            </w:tcBorders>
            <w:tcMar>
              <w:top w:w="0" w:type="dxa"/>
              <w:left w:w="108" w:type="dxa"/>
              <w:bottom w:w="0" w:type="dxa"/>
              <w:right w:w="108" w:type="dxa"/>
            </w:tcMar>
            <w:hideMark/>
          </w:tcPr>
          <w:p w:rsidR="005F5D53" w:rsidRPr="00F17F43" w:rsidRDefault="005F5D53" w:rsidP="00972115">
            <w:pPr>
              <w:pStyle w:val="Tablebody"/>
            </w:pPr>
            <w:r>
              <w:rPr>
                <w:lang w:val="fr"/>
              </w:rPr>
              <w:t>56 jours (maximum).</w:t>
            </w:r>
          </w:p>
        </w:tc>
        <w:tc>
          <w:tcPr>
            <w:tcW w:w="2725" w:type="dxa"/>
            <w:tcBorders>
              <w:top w:val="nil"/>
              <w:left w:val="nil"/>
              <w:bottom w:val="single" w:sz="8" w:space="0" w:color="auto"/>
              <w:right w:val="single" w:sz="8" w:space="0" w:color="auto"/>
            </w:tcBorders>
            <w:tcMar>
              <w:top w:w="0" w:type="dxa"/>
              <w:left w:w="108" w:type="dxa"/>
              <w:bottom w:w="0" w:type="dxa"/>
              <w:right w:w="108" w:type="dxa"/>
            </w:tcMar>
          </w:tcPr>
          <w:p w:rsidR="005F5D53" w:rsidRPr="00F17F43" w:rsidRDefault="005F5D53" w:rsidP="00972115">
            <w:pPr>
              <w:pStyle w:val="Tablebody"/>
            </w:pPr>
          </w:p>
        </w:tc>
      </w:tr>
      <w:tr w:rsidR="005F5D53" w:rsidRPr="00F17F43" w:rsidTr="00972115">
        <w:tc>
          <w:tcPr>
            <w:tcW w:w="3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5D53" w:rsidRPr="003B77F6" w:rsidRDefault="005F5D53" w:rsidP="00972115">
            <w:pPr>
              <w:pStyle w:val="Tablebody"/>
              <w:rPr>
                <w:lang w:val="fr-FR"/>
              </w:rPr>
            </w:pPr>
            <w:r>
              <w:rPr>
                <w:lang w:val="fr"/>
              </w:rPr>
              <w:t>Envoi des preuves de la mise en œuvre des actions requises (le cas échéant).</w:t>
            </w:r>
          </w:p>
        </w:tc>
        <w:tc>
          <w:tcPr>
            <w:tcW w:w="3454" w:type="dxa"/>
            <w:tcBorders>
              <w:top w:val="nil"/>
              <w:left w:val="nil"/>
              <w:bottom w:val="single" w:sz="8" w:space="0" w:color="auto"/>
              <w:right w:val="single" w:sz="8" w:space="0" w:color="auto"/>
            </w:tcBorders>
            <w:tcMar>
              <w:top w:w="0" w:type="dxa"/>
              <w:left w:w="108" w:type="dxa"/>
              <w:bottom w:w="0" w:type="dxa"/>
              <w:right w:w="108" w:type="dxa"/>
            </w:tcMar>
            <w:hideMark/>
          </w:tcPr>
          <w:p w:rsidR="005F5D53" w:rsidRPr="00F17F43" w:rsidRDefault="005F5D53" w:rsidP="00972115">
            <w:pPr>
              <w:pStyle w:val="Tablebody"/>
            </w:pPr>
            <w:r>
              <w:rPr>
                <w:lang w:val="fr"/>
              </w:rPr>
              <w:t>14 jours (maximum).</w:t>
            </w:r>
          </w:p>
        </w:tc>
        <w:tc>
          <w:tcPr>
            <w:tcW w:w="2725" w:type="dxa"/>
            <w:tcBorders>
              <w:top w:val="nil"/>
              <w:left w:val="nil"/>
              <w:bottom w:val="single" w:sz="8" w:space="0" w:color="auto"/>
              <w:right w:val="single" w:sz="8" w:space="0" w:color="auto"/>
            </w:tcBorders>
            <w:tcMar>
              <w:top w:w="0" w:type="dxa"/>
              <w:left w:w="108" w:type="dxa"/>
              <w:bottom w:w="0" w:type="dxa"/>
              <w:right w:w="108" w:type="dxa"/>
            </w:tcMar>
          </w:tcPr>
          <w:p w:rsidR="005F5D53" w:rsidRPr="00F17F43" w:rsidRDefault="005F5D53" w:rsidP="00972115">
            <w:pPr>
              <w:pStyle w:val="Tablebody"/>
            </w:pPr>
          </w:p>
        </w:tc>
      </w:tr>
      <w:tr w:rsidR="005F5D53" w:rsidRPr="003B77F6" w:rsidTr="00972115">
        <w:tc>
          <w:tcPr>
            <w:tcW w:w="3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5D53" w:rsidRPr="003B77F6" w:rsidRDefault="005F5D53" w:rsidP="00972115">
            <w:pPr>
              <w:pStyle w:val="Tablebody"/>
              <w:rPr>
                <w:lang w:val="fr-FR"/>
              </w:rPr>
            </w:pPr>
            <w:r>
              <w:rPr>
                <w:lang w:val="fr"/>
              </w:rPr>
              <w:t>Examen des preuves et des actions requises mises en œuvre, ou demande d’informations complémentaires (le cas échéant).</w:t>
            </w:r>
          </w:p>
        </w:tc>
        <w:tc>
          <w:tcPr>
            <w:tcW w:w="3454" w:type="dxa"/>
            <w:tcBorders>
              <w:top w:val="nil"/>
              <w:left w:val="nil"/>
              <w:bottom w:val="single" w:sz="8" w:space="0" w:color="auto"/>
              <w:right w:val="single" w:sz="8" w:space="0" w:color="auto"/>
            </w:tcBorders>
            <w:tcMar>
              <w:top w:w="0" w:type="dxa"/>
              <w:left w:w="108" w:type="dxa"/>
              <w:bottom w:w="0" w:type="dxa"/>
              <w:right w:w="108" w:type="dxa"/>
            </w:tcMar>
            <w:hideMark/>
          </w:tcPr>
          <w:p w:rsidR="005F5D53" w:rsidRPr="003B77F6" w:rsidRDefault="005F5D53" w:rsidP="00972115">
            <w:pPr>
              <w:pStyle w:val="Tablebody"/>
              <w:rPr>
                <w:lang w:val="fr-FR"/>
              </w:rPr>
            </w:pPr>
            <w:r>
              <w:rPr>
                <w:lang w:val="fr"/>
              </w:rPr>
              <w:t>14 jours (examen initial des preuves).</w:t>
            </w:r>
          </w:p>
          <w:p w:rsidR="005F5D53" w:rsidRPr="003B77F6" w:rsidRDefault="005F5D53" w:rsidP="00972115">
            <w:pPr>
              <w:pStyle w:val="Tablebody"/>
              <w:rPr>
                <w:lang w:val="fr-FR"/>
              </w:rPr>
            </w:pPr>
            <w:r>
              <w:rPr>
                <w:lang w:val="fr"/>
              </w:rPr>
              <w:t>Continuation du processus jusqu’à ce que toutes les actions requises aient été mises en œuvre.</w:t>
            </w:r>
          </w:p>
        </w:tc>
        <w:tc>
          <w:tcPr>
            <w:tcW w:w="2725" w:type="dxa"/>
            <w:tcBorders>
              <w:top w:val="nil"/>
              <w:left w:val="nil"/>
              <w:bottom w:val="single" w:sz="8" w:space="0" w:color="auto"/>
              <w:right w:val="single" w:sz="8" w:space="0" w:color="auto"/>
            </w:tcBorders>
            <w:tcMar>
              <w:top w:w="0" w:type="dxa"/>
              <w:left w:w="108" w:type="dxa"/>
              <w:bottom w:w="0" w:type="dxa"/>
              <w:right w:w="108" w:type="dxa"/>
            </w:tcMar>
          </w:tcPr>
          <w:p w:rsidR="005F5D53" w:rsidRPr="003B77F6" w:rsidRDefault="005F5D53" w:rsidP="00972115">
            <w:pPr>
              <w:pStyle w:val="Tablebody"/>
              <w:rPr>
                <w:lang w:val="fr-FR"/>
              </w:rPr>
            </w:pPr>
          </w:p>
        </w:tc>
      </w:tr>
      <w:tr w:rsidR="005F5D53" w:rsidRPr="00F17F43" w:rsidTr="00972115">
        <w:tc>
          <w:tcPr>
            <w:tcW w:w="3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5D53" w:rsidRPr="003B77F6" w:rsidRDefault="005F5D53" w:rsidP="00972115">
            <w:pPr>
              <w:pStyle w:val="Tablebody"/>
              <w:rPr>
                <w:lang w:val="fr-FR"/>
              </w:rPr>
            </w:pPr>
            <w:r>
              <w:rPr>
                <w:lang w:val="fr"/>
              </w:rPr>
              <w:t>L’établissement reçoit l’accord sur l’autorisation.</w:t>
            </w:r>
          </w:p>
        </w:tc>
        <w:tc>
          <w:tcPr>
            <w:tcW w:w="3454" w:type="dxa"/>
            <w:tcBorders>
              <w:top w:val="nil"/>
              <w:left w:val="nil"/>
              <w:bottom w:val="single" w:sz="8" w:space="0" w:color="auto"/>
              <w:right w:val="single" w:sz="8" w:space="0" w:color="auto"/>
            </w:tcBorders>
            <w:tcMar>
              <w:top w:w="0" w:type="dxa"/>
              <w:left w:w="108" w:type="dxa"/>
              <w:bottom w:w="0" w:type="dxa"/>
              <w:right w:w="108" w:type="dxa"/>
            </w:tcMar>
            <w:hideMark/>
          </w:tcPr>
          <w:p w:rsidR="005F5D53" w:rsidRPr="00F17F43" w:rsidRDefault="005F5D53" w:rsidP="00972115">
            <w:pPr>
              <w:pStyle w:val="Tablebody"/>
            </w:pPr>
            <w:r>
              <w:rPr>
                <w:lang w:val="fr"/>
              </w:rPr>
              <w:t>1 jour.</w:t>
            </w:r>
          </w:p>
        </w:tc>
        <w:tc>
          <w:tcPr>
            <w:tcW w:w="2725" w:type="dxa"/>
            <w:tcBorders>
              <w:top w:val="nil"/>
              <w:left w:val="nil"/>
              <w:bottom w:val="single" w:sz="8" w:space="0" w:color="auto"/>
              <w:right w:val="single" w:sz="8" w:space="0" w:color="auto"/>
            </w:tcBorders>
            <w:tcMar>
              <w:top w:w="0" w:type="dxa"/>
              <w:left w:w="108" w:type="dxa"/>
              <w:bottom w:w="0" w:type="dxa"/>
              <w:right w:w="108" w:type="dxa"/>
            </w:tcMar>
          </w:tcPr>
          <w:p w:rsidR="005F5D53" w:rsidRPr="00F17F43" w:rsidRDefault="005F5D53" w:rsidP="00972115">
            <w:pPr>
              <w:pStyle w:val="Tablebody"/>
            </w:pPr>
          </w:p>
        </w:tc>
      </w:tr>
      <w:tr w:rsidR="005F5D53" w:rsidRPr="00F17F43" w:rsidTr="00972115">
        <w:tc>
          <w:tcPr>
            <w:tcW w:w="3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5D53" w:rsidRPr="003B77F6" w:rsidRDefault="005F5D53" w:rsidP="00972115">
            <w:pPr>
              <w:pStyle w:val="Tablebody"/>
              <w:rPr>
                <w:lang w:val="fr-FR"/>
              </w:rPr>
            </w:pPr>
            <w:r>
              <w:rPr>
                <w:lang w:val="fr"/>
              </w:rPr>
              <w:t>L’établissement signe et retourne l’accord sur l’autorisation.</w:t>
            </w:r>
          </w:p>
        </w:tc>
        <w:tc>
          <w:tcPr>
            <w:tcW w:w="3454" w:type="dxa"/>
            <w:tcBorders>
              <w:top w:val="nil"/>
              <w:left w:val="nil"/>
              <w:bottom w:val="single" w:sz="8" w:space="0" w:color="auto"/>
              <w:right w:val="single" w:sz="8" w:space="0" w:color="auto"/>
            </w:tcBorders>
            <w:tcMar>
              <w:top w:w="0" w:type="dxa"/>
              <w:left w:w="108" w:type="dxa"/>
              <w:bottom w:w="0" w:type="dxa"/>
              <w:right w:w="108" w:type="dxa"/>
            </w:tcMar>
            <w:hideMark/>
          </w:tcPr>
          <w:p w:rsidR="005F5D53" w:rsidRPr="00F17F43" w:rsidRDefault="005F5D53" w:rsidP="00972115">
            <w:pPr>
              <w:pStyle w:val="Tablebody"/>
            </w:pPr>
            <w:r>
              <w:rPr>
                <w:lang w:val="fr"/>
              </w:rPr>
              <w:t>14 jours (maximum).</w:t>
            </w:r>
          </w:p>
        </w:tc>
        <w:tc>
          <w:tcPr>
            <w:tcW w:w="2725" w:type="dxa"/>
            <w:tcBorders>
              <w:top w:val="nil"/>
              <w:left w:val="nil"/>
              <w:bottom w:val="single" w:sz="8" w:space="0" w:color="auto"/>
              <w:right w:val="single" w:sz="8" w:space="0" w:color="auto"/>
            </w:tcBorders>
            <w:tcMar>
              <w:top w:w="0" w:type="dxa"/>
              <w:left w:w="108" w:type="dxa"/>
              <w:bottom w:w="0" w:type="dxa"/>
              <w:right w:w="108" w:type="dxa"/>
            </w:tcMar>
          </w:tcPr>
          <w:p w:rsidR="005F5D53" w:rsidRPr="00F17F43" w:rsidRDefault="005F5D53" w:rsidP="00972115">
            <w:pPr>
              <w:pStyle w:val="Tablebody"/>
            </w:pPr>
          </w:p>
        </w:tc>
      </w:tr>
      <w:tr w:rsidR="005F5D53" w:rsidRPr="00F17F43" w:rsidTr="00972115">
        <w:tc>
          <w:tcPr>
            <w:tcW w:w="3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5D53" w:rsidRPr="00F17F43" w:rsidRDefault="005F5D53" w:rsidP="00972115">
            <w:pPr>
              <w:pStyle w:val="Tablebody"/>
            </w:pPr>
            <w:r>
              <w:rPr>
                <w:lang w:val="fr"/>
              </w:rPr>
              <w:t>L’établissement reçoit l’autorisation officielle.</w:t>
            </w:r>
          </w:p>
        </w:tc>
        <w:tc>
          <w:tcPr>
            <w:tcW w:w="3454" w:type="dxa"/>
            <w:tcBorders>
              <w:top w:val="nil"/>
              <w:left w:val="nil"/>
              <w:bottom w:val="single" w:sz="8" w:space="0" w:color="auto"/>
              <w:right w:val="single" w:sz="8" w:space="0" w:color="auto"/>
            </w:tcBorders>
            <w:tcMar>
              <w:top w:w="0" w:type="dxa"/>
              <w:left w:w="108" w:type="dxa"/>
              <w:bottom w:w="0" w:type="dxa"/>
              <w:right w:w="108" w:type="dxa"/>
            </w:tcMar>
            <w:hideMark/>
          </w:tcPr>
          <w:p w:rsidR="005F5D53" w:rsidRPr="00F17F43" w:rsidRDefault="005F5D53" w:rsidP="00972115">
            <w:pPr>
              <w:pStyle w:val="Tablebody"/>
            </w:pPr>
            <w:r>
              <w:rPr>
                <w:lang w:val="fr"/>
              </w:rPr>
              <w:t>14 jours (maximum).</w:t>
            </w:r>
          </w:p>
        </w:tc>
        <w:tc>
          <w:tcPr>
            <w:tcW w:w="2725" w:type="dxa"/>
            <w:tcBorders>
              <w:top w:val="nil"/>
              <w:left w:val="nil"/>
              <w:bottom w:val="single" w:sz="8" w:space="0" w:color="auto"/>
              <w:right w:val="single" w:sz="8" w:space="0" w:color="auto"/>
            </w:tcBorders>
            <w:tcMar>
              <w:top w:w="0" w:type="dxa"/>
              <w:left w:w="108" w:type="dxa"/>
              <w:bottom w:w="0" w:type="dxa"/>
              <w:right w:w="108" w:type="dxa"/>
            </w:tcMar>
          </w:tcPr>
          <w:p w:rsidR="005F5D53" w:rsidRPr="00F17F43" w:rsidRDefault="005F5D53" w:rsidP="00972115">
            <w:pPr>
              <w:pStyle w:val="Tablebody"/>
            </w:pPr>
          </w:p>
        </w:tc>
      </w:tr>
    </w:tbl>
    <w:p w:rsidR="005F5D53" w:rsidRPr="00F17F43" w:rsidRDefault="005F5D53" w:rsidP="005F5D53">
      <w:pPr>
        <w:pStyle w:val="Body"/>
      </w:pPr>
    </w:p>
    <w:p w:rsidR="00553D88" w:rsidRPr="005F5D53" w:rsidRDefault="00553D88" w:rsidP="005F5D53"/>
    <w:sectPr w:rsidR="00553D88" w:rsidRPr="005F5D53" w:rsidSect="005C04CB">
      <w:footerReference w:type="default" r:id="rId8"/>
      <w:headerReference w:type="first" r:id="rId9"/>
      <w:footerReference w:type="first" r:id="rId10"/>
      <w:pgSz w:w="11906" w:h="16838" w:code="9"/>
      <w:pgMar w:top="1701" w:right="907" w:bottom="1701"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4019" w:rsidRDefault="00B94019" w:rsidP="00601E00">
      <w:r>
        <w:separator/>
      </w:r>
    </w:p>
  </w:endnote>
  <w:endnote w:type="continuationSeparator" w:id="0">
    <w:p w:rsidR="00B94019" w:rsidRDefault="00B94019" w:rsidP="00601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1"/>
      <w:tblpPr w:vertAnchor="page" w:horzAnchor="page" w:tblpX="1419" w:tblpY="15934"/>
      <w:tblOverlap w:val="never"/>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6"/>
    </w:tblGrid>
    <w:tr w:rsidR="00E42568" w:rsidRPr="00E42568" w:rsidTr="000D040C">
      <w:trPr>
        <w:cantSplit/>
        <w:trHeight w:hRule="exact" w:val="340"/>
      </w:trPr>
      <w:tc>
        <w:tcPr>
          <w:tcW w:w="4536" w:type="dxa"/>
        </w:tcPr>
        <w:p w:rsidR="00E42568" w:rsidRDefault="00E42568" w:rsidP="000D040C">
          <w:pPr>
            <w:pStyle w:val="10Pagenumbering"/>
            <w:framePr w:wrap="auto" w:vAnchor="margin" w:hAnchor="text" w:xAlign="left" w:yAlign="inline"/>
            <w:suppressOverlap w:val="0"/>
          </w:pPr>
          <w:r w:rsidRPr="00E42568">
            <w:t xml:space="preserve">Page </w:t>
          </w:r>
          <w:r w:rsidR="00175C33" w:rsidRPr="00E42568">
            <w:fldChar w:fldCharType="begin"/>
          </w:r>
          <w:r w:rsidRPr="00E42568">
            <w:instrText xml:space="preserve"> PAGE </w:instrText>
          </w:r>
          <w:r w:rsidR="00175C33" w:rsidRPr="00E42568">
            <w:fldChar w:fldCharType="separate"/>
          </w:r>
          <w:r w:rsidR="002A0898">
            <w:t>2</w:t>
          </w:r>
          <w:r w:rsidR="00175C33" w:rsidRPr="00E42568">
            <w:fldChar w:fldCharType="end"/>
          </w:r>
          <w:r w:rsidRPr="00E42568">
            <w:t xml:space="preserve"> / </w:t>
          </w:r>
          <w:r w:rsidR="00175C33" w:rsidRPr="00E42568">
            <w:fldChar w:fldCharType="begin"/>
          </w:r>
          <w:r w:rsidRPr="00E42568">
            <w:instrText xml:space="preserve"> NUMPAGES </w:instrText>
          </w:r>
          <w:r w:rsidR="00175C33" w:rsidRPr="00E42568">
            <w:fldChar w:fldCharType="separate"/>
          </w:r>
          <w:r w:rsidR="002A0898">
            <w:t>2</w:t>
          </w:r>
          <w:r w:rsidR="00175C33" w:rsidRPr="00E42568">
            <w:fldChar w:fldCharType="end"/>
          </w:r>
        </w:p>
        <w:p w:rsidR="000D040C" w:rsidRPr="00E42568" w:rsidRDefault="000D040C" w:rsidP="000D040C">
          <w:pPr>
            <w:pStyle w:val="09Disclaimer"/>
            <w:rPr>
              <w:noProof/>
            </w:rPr>
          </w:pPr>
          <w:r w:rsidRPr="000D040C">
            <w:rPr>
              <w:noProof/>
            </w:rPr>
            <w:t xml:space="preserve">© International Baccalaureate Organization </w:t>
          </w:r>
          <w:r w:rsidR="00440F4F" w:rsidRPr="00FB7760">
            <w:rPr>
              <w:noProof/>
            </w:rPr>
            <w:fldChar w:fldCharType="begin"/>
          </w:r>
          <w:r w:rsidR="00440F4F" w:rsidRPr="00FB7760">
            <w:rPr>
              <w:noProof/>
            </w:rPr>
            <w:instrText xml:space="preserve"> DATE \@ "yyyy" \* MERGEFORMAT </w:instrText>
          </w:r>
          <w:r w:rsidR="00440F4F" w:rsidRPr="00FB7760">
            <w:rPr>
              <w:noProof/>
            </w:rPr>
            <w:fldChar w:fldCharType="separate"/>
          </w:r>
          <w:r w:rsidR="005F5D53">
            <w:rPr>
              <w:noProof/>
            </w:rPr>
            <w:t>2019</w:t>
          </w:r>
          <w:r w:rsidR="00440F4F" w:rsidRPr="00FB7760">
            <w:rPr>
              <w:noProof/>
            </w:rPr>
            <w:fldChar w:fldCharType="end"/>
          </w:r>
        </w:p>
      </w:tc>
    </w:tr>
  </w:tbl>
  <w:p w:rsidR="004112A2" w:rsidRDefault="004112A2">
    <w:pPr>
      <w:pStyle w:val="Footer"/>
    </w:pPr>
    <w:r>
      <w:rPr>
        <w:noProof/>
      </w:rPr>
      <w:drawing>
        <wp:anchor distT="0" distB="0" distL="114300" distR="114300" simplePos="0" relativeHeight="251657216" behindDoc="1" locked="0" layoutInCell="1" allowOverlap="1" wp14:anchorId="00A5B0BE" wp14:editId="6F7A24BD">
          <wp:simplePos x="0" y="0"/>
          <wp:positionH relativeFrom="page">
            <wp:posOffset>5364480</wp:posOffset>
          </wp:positionH>
          <wp:positionV relativeFrom="page">
            <wp:posOffset>9955530</wp:posOffset>
          </wp:positionV>
          <wp:extent cx="1624330" cy="482600"/>
          <wp:effectExtent l="2540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B_Logo_Volgvel_3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4330" cy="4826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pPr w:vertAnchor="page" w:horzAnchor="page" w:tblpX="5955" w:tblpY="15934"/>
      <w:tblOverlap w:val="never"/>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6"/>
    </w:tblGrid>
    <w:tr w:rsidR="00FB7760" w:rsidRPr="00FB7760" w:rsidTr="000D040C">
      <w:trPr>
        <w:cantSplit/>
        <w:trHeight w:hRule="exact" w:val="340"/>
      </w:trPr>
      <w:tc>
        <w:tcPr>
          <w:tcW w:w="4536" w:type="dxa"/>
        </w:tcPr>
        <w:p w:rsidR="00FB7760" w:rsidRPr="00FB7760" w:rsidRDefault="00FB7760" w:rsidP="000D040C">
          <w:pPr>
            <w:pStyle w:val="09Disclaimer"/>
            <w:rPr>
              <w:noProof/>
            </w:rPr>
          </w:pPr>
          <w:r w:rsidRPr="00FB7760">
            <w:rPr>
              <w:noProof/>
            </w:rPr>
            <w:t xml:space="preserve">© International Baccalaureate Organization </w:t>
          </w:r>
          <w:r w:rsidR="00175C33" w:rsidRPr="00FB7760">
            <w:rPr>
              <w:noProof/>
            </w:rPr>
            <w:fldChar w:fldCharType="begin"/>
          </w:r>
          <w:r w:rsidRPr="00FB7760">
            <w:rPr>
              <w:noProof/>
            </w:rPr>
            <w:instrText xml:space="preserve"> DATE \@ "yyyy" \* MERGEFORMAT </w:instrText>
          </w:r>
          <w:r w:rsidR="00175C33" w:rsidRPr="00FB7760">
            <w:rPr>
              <w:noProof/>
            </w:rPr>
            <w:fldChar w:fldCharType="separate"/>
          </w:r>
          <w:r w:rsidR="005F5D53">
            <w:rPr>
              <w:noProof/>
            </w:rPr>
            <w:t>2019</w:t>
          </w:r>
          <w:r w:rsidR="00175C33" w:rsidRPr="00FB7760">
            <w:rPr>
              <w:noProof/>
            </w:rPr>
            <w:fldChar w:fldCharType="end"/>
          </w:r>
          <w:r w:rsidRPr="00FB7760">
            <w:rPr>
              <w:noProof/>
            </w:rPr>
            <w:br/>
            <w:t xml:space="preserve">International Baccalaureate® | Baccalauréat International® | Bachillerato Internacional® </w:t>
          </w:r>
        </w:p>
      </w:tc>
    </w:tr>
  </w:tbl>
  <w:p w:rsidR="00601E00" w:rsidRDefault="00FB7760">
    <w:pPr>
      <w:pStyle w:val="Footer"/>
    </w:pPr>
    <w:r>
      <w:rPr>
        <w:noProof/>
      </w:rPr>
      <w:drawing>
        <wp:anchor distT="0" distB="0" distL="114300" distR="114300" simplePos="0" relativeHeight="251658240" behindDoc="1" locked="0" layoutInCell="1" allowOverlap="1" wp14:anchorId="352F5671" wp14:editId="7413F08F">
          <wp:simplePos x="0" y="0"/>
          <wp:positionH relativeFrom="page">
            <wp:posOffset>0</wp:posOffset>
          </wp:positionH>
          <wp:positionV relativeFrom="page">
            <wp:posOffset>9901555</wp:posOffset>
          </wp:positionV>
          <wp:extent cx="3960000" cy="792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B_Footer_Links_3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60000" cy="7920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4019" w:rsidRDefault="00B94019" w:rsidP="00601E00">
      <w:r>
        <w:separator/>
      </w:r>
    </w:p>
  </w:footnote>
  <w:footnote w:type="continuationSeparator" w:id="0">
    <w:p w:rsidR="00B94019" w:rsidRDefault="00B94019" w:rsidP="00601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E00" w:rsidRDefault="003030E6">
    <w:pPr>
      <w:pStyle w:val="Header"/>
    </w:pPr>
    <w:r>
      <w:rPr>
        <w:noProof/>
      </w:rPr>
      <mc:AlternateContent>
        <mc:Choice Requires="wps">
          <w:drawing>
            <wp:anchor distT="0" distB="0" distL="114300" distR="114300" simplePos="0" relativeHeight="251659264" behindDoc="0" locked="0" layoutInCell="1" allowOverlap="0" wp14:anchorId="3BE05DF3" wp14:editId="2980F8E3">
              <wp:simplePos x="0" y="0"/>
              <wp:positionH relativeFrom="page">
                <wp:posOffset>0</wp:posOffset>
              </wp:positionH>
              <wp:positionV relativeFrom="page">
                <wp:posOffset>0</wp:posOffset>
              </wp:positionV>
              <wp:extent cx="7560310" cy="1727835"/>
              <wp:effectExtent l="0" t="0" r="0" b="0"/>
              <wp:wrapTopAndBottom/>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7278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694BA" id="Rectangle 4" o:spid="_x0000_s1026" style="position:absolute;margin-left:0;margin-top:0;width:595.3pt;height:136.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" o:allowoverlap="f" filled="f" stroked="f" strokeweight="1pt">
              <w10:wrap type="topAndBottom" anchorx="page" anchory="page"/>
            </v:rect>
          </w:pict>
        </mc:Fallback>
      </mc:AlternateContent>
    </w:r>
    <w:r w:rsidR="00601E00">
      <w:rPr>
        <w:noProof/>
      </w:rPr>
      <w:drawing>
        <wp:anchor distT="0" distB="0" distL="114300" distR="114300" simplePos="0" relativeHeight="251656192" behindDoc="1" locked="0" layoutInCell="1" allowOverlap="1" wp14:anchorId="53D8EC7D" wp14:editId="43F550F3">
          <wp:simplePos x="0" y="0"/>
          <wp:positionH relativeFrom="page">
            <wp:posOffset>4860925</wp:posOffset>
          </wp:positionH>
          <wp:positionV relativeFrom="page">
            <wp:posOffset>360045</wp:posOffset>
          </wp:positionV>
          <wp:extent cx="2196000" cy="720000"/>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B_Logo_Kopvel_3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6000" cy="72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440F7A"/>
    <w:multiLevelType w:val="hybridMultilevel"/>
    <w:tmpl w:val="DDEEA162"/>
    <w:lvl w:ilvl="0" w:tplc="C5E20CFC">
      <w:start w:val="1"/>
      <w:numFmt w:val="bullet"/>
      <w:pStyle w:val="05BulletLis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 w15:restartNumberingAfterBreak="0">
    <w:nsid w:val="6A8238E8"/>
    <w:multiLevelType w:val="hybridMultilevel"/>
    <w:tmpl w:val="4788B3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50A"/>
    <w:rsid w:val="00041959"/>
    <w:rsid w:val="000D040C"/>
    <w:rsid w:val="000E06D5"/>
    <w:rsid w:val="00175C33"/>
    <w:rsid w:val="001A3221"/>
    <w:rsid w:val="001D1DCE"/>
    <w:rsid w:val="002137C0"/>
    <w:rsid w:val="00222DE3"/>
    <w:rsid w:val="002A0898"/>
    <w:rsid w:val="002E76CB"/>
    <w:rsid w:val="002E7ECB"/>
    <w:rsid w:val="003030E6"/>
    <w:rsid w:val="004112A2"/>
    <w:rsid w:val="00440F4F"/>
    <w:rsid w:val="00553D88"/>
    <w:rsid w:val="00586180"/>
    <w:rsid w:val="005C04CB"/>
    <w:rsid w:val="005C442C"/>
    <w:rsid w:val="005D2D2B"/>
    <w:rsid w:val="005F48AF"/>
    <w:rsid w:val="005F5D53"/>
    <w:rsid w:val="00601E00"/>
    <w:rsid w:val="006B0E36"/>
    <w:rsid w:val="006E195C"/>
    <w:rsid w:val="00717B82"/>
    <w:rsid w:val="00A5050A"/>
    <w:rsid w:val="00A82EB0"/>
    <w:rsid w:val="00AC02A1"/>
    <w:rsid w:val="00B0072F"/>
    <w:rsid w:val="00B94019"/>
    <w:rsid w:val="00C8573E"/>
    <w:rsid w:val="00CD006F"/>
    <w:rsid w:val="00D3522F"/>
    <w:rsid w:val="00DA3F98"/>
    <w:rsid w:val="00E04F8C"/>
    <w:rsid w:val="00E42568"/>
    <w:rsid w:val="00FB7760"/>
    <w:rsid w:val="00FF3734"/>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C90678"/>
  <w15:docId w15:val="{E09FE9E0-5E6C-4DBE-95AE-1BCEFC61B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F5D5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53D88"/>
    <w:pPr>
      <w:keepNext/>
      <w:keepLines/>
      <w:tabs>
        <w:tab w:val="left" w:pos="227"/>
      </w:tabs>
      <w:spacing w:before="240" w:line="280" w:lineRule="atLeast"/>
      <w:outlineLvl w:val="0"/>
    </w:pPr>
    <w:rPr>
      <w:rFonts w:asciiTheme="majorHAnsi" w:eastAsiaTheme="majorEastAsia" w:hAnsiTheme="majorHAnsi" w:cstheme="majorBidi"/>
      <w:color w:val="5B9BD5" w:themeColor="accent1"/>
      <w:sz w:val="36"/>
      <w:szCs w:val="32"/>
      <w:lang w:val="en-US"/>
    </w:rPr>
  </w:style>
  <w:style w:type="paragraph" w:styleId="Heading2">
    <w:name w:val="heading 2"/>
    <w:basedOn w:val="Normal"/>
    <w:next w:val="Normal"/>
    <w:link w:val="Heading2Char"/>
    <w:uiPriority w:val="9"/>
    <w:unhideWhenUsed/>
    <w:qFormat/>
    <w:rsid w:val="00553D88"/>
    <w:pPr>
      <w:keepNext/>
      <w:keepLines/>
      <w:tabs>
        <w:tab w:val="left" w:pos="227"/>
      </w:tabs>
      <w:spacing w:before="40" w:line="280" w:lineRule="atLeast"/>
      <w:outlineLvl w:val="1"/>
    </w:pPr>
    <w:rPr>
      <w:rFonts w:asciiTheme="majorHAnsi" w:eastAsiaTheme="majorEastAsia" w:hAnsiTheme="majorHAnsi" w:cstheme="majorBidi"/>
      <w:color w:val="44546A" w:themeColor="text2"/>
      <w:sz w:val="28"/>
      <w:szCs w:val="26"/>
      <w:lang w:val="en-US"/>
    </w:rPr>
  </w:style>
  <w:style w:type="paragraph" w:styleId="Heading3">
    <w:name w:val="heading 3"/>
    <w:basedOn w:val="Normal"/>
    <w:next w:val="Normal"/>
    <w:link w:val="Heading3Char"/>
    <w:uiPriority w:val="9"/>
    <w:semiHidden/>
    <w:unhideWhenUsed/>
    <w:qFormat/>
    <w:rsid w:val="00553D88"/>
    <w:pPr>
      <w:keepNext/>
      <w:keepLines/>
      <w:tabs>
        <w:tab w:val="left" w:pos="227"/>
      </w:tabs>
      <w:spacing w:before="40" w:line="280" w:lineRule="atLeast"/>
      <w:outlineLvl w:val="2"/>
    </w:pPr>
    <w:rPr>
      <w:rFonts w:asciiTheme="majorHAnsi" w:eastAsiaTheme="majorEastAsia" w:hAnsiTheme="majorHAnsi" w:cstheme="majorBidi"/>
      <w:color w:val="5B9BD5"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E00"/>
    <w:pPr>
      <w:tabs>
        <w:tab w:val="left" w:pos="227"/>
        <w:tab w:val="center" w:pos="4536"/>
        <w:tab w:val="right" w:pos="9072"/>
      </w:tabs>
    </w:pPr>
    <w:rPr>
      <w:rFonts w:asciiTheme="minorHAnsi" w:eastAsiaTheme="minorHAnsi" w:hAnsiTheme="minorHAnsi" w:cstheme="minorBidi"/>
      <w:sz w:val="20"/>
      <w:szCs w:val="22"/>
      <w:lang w:val="en-US"/>
    </w:rPr>
  </w:style>
  <w:style w:type="character" w:customStyle="1" w:styleId="HeaderChar">
    <w:name w:val="Header Char"/>
    <w:basedOn w:val="DefaultParagraphFont"/>
    <w:link w:val="Header"/>
    <w:uiPriority w:val="99"/>
    <w:rsid w:val="00601E00"/>
  </w:style>
  <w:style w:type="paragraph" w:styleId="Footer">
    <w:name w:val="footer"/>
    <w:basedOn w:val="Normal"/>
    <w:link w:val="FooterChar"/>
    <w:uiPriority w:val="99"/>
    <w:unhideWhenUsed/>
    <w:rsid w:val="00601E00"/>
    <w:pPr>
      <w:tabs>
        <w:tab w:val="left" w:pos="227"/>
        <w:tab w:val="center" w:pos="4536"/>
        <w:tab w:val="right" w:pos="9072"/>
      </w:tabs>
    </w:pPr>
    <w:rPr>
      <w:rFonts w:asciiTheme="minorHAnsi" w:eastAsiaTheme="minorHAnsi" w:hAnsiTheme="minorHAnsi" w:cstheme="minorBidi"/>
      <w:sz w:val="20"/>
      <w:szCs w:val="22"/>
      <w:lang w:val="en-US"/>
    </w:rPr>
  </w:style>
  <w:style w:type="character" w:customStyle="1" w:styleId="FooterChar">
    <w:name w:val="Footer Char"/>
    <w:basedOn w:val="DefaultParagraphFont"/>
    <w:link w:val="Footer"/>
    <w:uiPriority w:val="99"/>
    <w:rsid w:val="00601E00"/>
  </w:style>
  <w:style w:type="table" w:styleId="TableGrid">
    <w:name w:val="Table Grid"/>
    <w:basedOn w:val="TableNormal"/>
    <w:uiPriority w:val="39"/>
    <w:rsid w:val="00601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9Disclaimer">
    <w:name w:val="09_Disclaimer"/>
    <w:basedOn w:val="Normal"/>
    <w:qFormat/>
    <w:rsid w:val="00C8573E"/>
    <w:pPr>
      <w:tabs>
        <w:tab w:val="left" w:pos="227"/>
      </w:tabs>
      <w:spacing w:line="140" w:lineRule="exact"/>
    </w:pPr>
    <w:rPr>
      <w:rFonts w:asciiTheme="minorHAnsi" w:eastAsiaTheme="minorHAnsi" w:hAnsiTheme="minorHAnsi" w:cstheme="minorBidi"/>
      <w:color w:val="A6A6A6" w:themeColor="background1" w:themeShade="A6"/>
      <w:sz w:val="12"/>
      <w:szCs w:val="10"/>
      <w:lang w:val="en-US"/>
    </w:rPr>
  </w:style>
  <w:style w:type="paragraph" w:customStyle="1" w:styleId="08Contact">
    <w:name w:val="08_Contact"/>
    <w:basedOn w:val="Normal"/>
    <w:qFormat/>
    <w:rsid w:val="00AC02A1"/>
    <w:pPr>
      <w:tabs>
        <w:tab w:val="left" w:pos="142"/>
      </w:tabs>
      <w:spacing w:line="200" w:lineRule="exact"/>
    </w:pPr>
    <w:rPr>
      <w:rFonts w:asciiTheme="minorHAnsi" w:eastAsiaTheme="minorHAnsi" w:hAnsiTheme="minorHAnsi" w:cstheme="minorBidi"/>
      <w:color w:val="44546A" w:themeColor="text2"/>
      <w:sz w:val="14"/>
      <w:szCs w:val="14"/>
      <w:lang w:val="en-US"/>
    </w:rPr>
  </w:style>
  <w:style w:type="paragraph" w:customStyle="1" w:styleId="01Bodytext">
    <w:name w:val="01_Bodytext"/>
    <w:basedOn w:val="Normal"/>
    <w:qFormat/>
    <w:rsid w:val="00C8573E"/>
    <w:pPr>
      <w:tabs>
        <w:tab w:val="left" w:pos="227"/>
        <w:tab w:val="left" w:pos="454"/>
        <w:tab w:val="left" w:pos="680"/>
        <w:tab w:val="left" w:pos="6350"/>
        <w:tab w:val="right" w:pos="7768"/>
      </w:tabs>
      <w:spacing w:line="280" w:lineRule="atLeast"/>
    </w:pPr>
    <w:rPr>
      <w:rFonts w:asciiTheme="minorHAnsi" w:eastAsiaTheme="minorHAnsi" w:hAnsiTheme="minorHAnsi" w:cstheme="minorBidi"/>
      <w:szCs w:val="22"/>
      <w:lang w:val="en-US"/>
    </w:rPr>
  </w:style>
  <w:style w:type="paragraph" w:customStyle="1" w:styleId="02Reference">
    <w:name w:val="02_Reference"/>
    <w:basedOn w:val="01Bodytext"/>
    <w:next w:val="01Bodytext"/>
    <w:qFormat/>
    <w:rsid w:val="00FB7760"/>
    <w:rPr>
      <w:rFonts w:asciiTheme="majorHAnsi" w:hAnsiTheme="majorHAnsi"/>
    </w:rPr>
  </w:style>
  <w:style w:type="paragraph" w:styleId="ListParagraph">
    <w:name w:val="List Paragraph"/>
    <w:basedOn w:val="Normal"/>
    <w:uiPriority w:val="34"/>
    <w:qFormat/>
    <w:rsid w:val="00586180"/>
    <w:pPr>
      <w:tabs>
        <w:tab w:val="left" w:pos="227"/>
      </w:tabs>
      <w:spacing w:line="280" w:lineRule="atLeast"/>
      <w:ind w:left="720"/>
      <w:contextualSpacing/>
    </w:pPr>
    <w:rPr>
      <w:rFonts w:asciiTheme="minorHAnsi" w:eastAsiaTheme="minorHAnsi" w:hAnsiTheme="minorHAnsi" w:cstheme="minorBidi"/>
      <w:sz w:val="20"/>
      <w:szCs w:val="22"/>
      <w:lang w:val="en-US"/>
    </w:rPr>
  </w:style>
  <w:style w:type="paragraph" w:customStyle="1" w:styleId="05BulletList">
    <w:name w:val="05_Bullet List"/>
    <w:basedOn w:val="01Bodytext"/>
    <w:qFormat/>
    <w:rsid w:val="005C04CB"/>
    <w:pPr>
      <w:numPr>
        <w:numId w:val="2"/>
      </w:numPr>
      <w:ind w:left="227" w:hanging="227"/>
    </w:pPr>
  </w:style>
  <w:style w:type="paragraph" w:customStyle="1" w:styleId="04BodytextItalic">
    <w:name w:val="04_Bodytext Italic"/>
    <w:basedOn w:val="01Bodytext"/>
    <w:next w:val="01Bodytext"/>
    <w:qFormat/>
    <w:rsid w:val="001D1DCE"/>
    <w:pPr>
      <w:tabs>
        <w:tab w:val="clear" w:pos="227"/>
      </w:tabs>
    </w:pPr>
    <w:rPr>
      <w:i/>
    </w:rPr>
  </w:style>
  <w:style w:type="paragraph" w:customStyle="1" w:styleId="06Title">
    <w:name w:val="06_Title"/>
    <w:basedOn w:val="01Bodytext"/>
    <w:next w:val="01Bodytext"/>
    <w:qFormat/>
    <w:rsid w:val="002E7ECB"/>
    <w:pPr>
      <w:spacing w:line="560" w:lineRule="atLeast"/>
    </w:pPr>
    <w:rPr>
      <w:sz w:val="52"/>
      <w:szCs w:val="52"/>
    </w:rPr>
  </w:style>
  <w:style w:type="paragraph" w:customStyle="1" w:styleId="07SubttitleGrey">
    <w:name w:val="07_Subttitle Grey"/>
    <w:basedOn w:val="01Bodytext"/>
    <w:next w:val="01Bodytext"/>
    <w:qFormat/>
    <w:rsid w:val="002E7ECB"/>
    <w:pPr>
      <w:spacing w:line="560" w:lineRule="atLeast"/>
    </w:pPr>
    <w:rPr>
      <w:i/>
      <w:color w:val="A6A6A6" w:themeColor="background1" w:themeShade="A6"/>
      <w:sz w:val="40"/>
      <w:szCs w:val="40"/>
    </w:rPr>
  </w:style>
  <w:style w:type="paragraph" w:customStyle="1" w:styleId="03BodytextBold">
    <w:name w:val="03_Bodytext Bold"/>
    <w:basedOn w:val="01Bodytext"/>
    <w:next w:val="01Bodytext"/>
    <w:qFormat/>
    <w:rsid w:val="001D1DCE"/>
    <w:rPr>
      <w:b/>
    </w:rPr>
  </w:style>
  <w:style w:type="table" w:customStyle="1" w:styleId="TableGrid1">
    <w:name w:val="Table Grid1"/>
    <w:basedOn w:val="TableNormal"/>
    <w:next w:val="TableGrid"/>
    <w:uiPriority w:val="39"/>
    <w:rsid w:val="00FB7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53D88"/>
    <w:rPr>
      <w:rFonts w:asciiTheme="majorHAnsi" w:eastAsiaTheme="majorEastAsia" w:hAnsiTheme="majorHAnsi" w:cstheme="majorBidi"/>
      <w:color w:val="5B9BD5" w:themeColor="accent1"/>
      <w:sz w:val="36"/>
      <w:szCs w:val="32"/>
      <w:lang w:val="en-US"/>
    </w:rPr>
  </w:style>
  <w:style w:type="character" w:customStyle="1" w:styleId="Heading2Char">
    <w:name w:val="Heading 2 Char"/>
    <w:basedOn w:val="DefaultParagraphFont"/>
    <w:link w:val="Heading2"/>
    <w:uiPriority w:val="9"/>
    <w:rsid w:val="00553D88"/>
    <w:rPr>
      <w:rFonts w:asciiTheme="majorHAnsi" w:eastAsiaTheme="majorEastAsia" w:hAnsiTheme="majorHAnsi" w:cstheme="majorBidi"/>
      <w:color w:val="44546A" w:themeColor="text2"/>
      <w:sz w:val="28"/>
      <w:szCs w:val="26"/>
      <w:lang w:val="en-US"/>
    </w:rPr>
  </w:style>
  <w:style w:type="character" w:customStyle="1" w:styleId="Heading3Char">
    <w:name w:val="Heading 3 Char"/>
    <w:basedOn w:val="DefaultParagraphFont"/>
    <w:link w:val="Heading3"/>
    <w:uiPriority w:val="9"/>
    <w:semiHidden/>
    <w:rsid w:val="00553D88"/>
    <w:rPr>
      <w:rFonts w:asciiTheme="majorHAnsi" w:eastAsiaTheme="majorEastAsia" w:hAnsiTheme="majorHAnsi" w:cstheme="majorBidi"/>
      <w:color w:val="5B9BD5" w:themeColor="accent1"/>
      <w:sz w:val="24"/>
      <w:szCs w:val="24"/>
      <w:lang w:val="en-US"/>
    </w:rPr>
  </w:style>
  <w:style w:type="table" w:customStyle="1" w:styleId="TableGrid11">
    <w:name w:val="Table Grid11"/>
    <w:basedOn w:val="TableNormal"/>
    <w:next w:val="TableGrid"/>
    <w:uiPriority w:val="39"/>
    <w:rsid w:val="00E42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Pagenumbering">
    <w:name w:val="10_Pagenumbering"/>
    <w:basedOn w:val="08Contact"/>
    <w:qFormat/>
    <w:rsid w:val="000D040C"/>
    <w:pPr>
      <w:framePr w:wrap="around" w:vAnchor="page" w:hAnchor="page" w:x="1419" w:y="16047"/>
      <w:suppressOverlap/>
    </w:pPr>
    <w:rPr>
      <w:noProof/>
      <w:color w:val="A6A6A6" w:themeColor="background1" w:themeShade="A6"/>
    </w:rPr>
  </w:style>
  <w:style w:type="paragraph" w:customStyle="1" w:styleId="Body">
    <w:name w:val="Body"/>
    <w:basedOn w:val="Normal"/>
    <w:rsid w:val="00A5050A"/>
    <w:pPr>
      <w:tabs>
        <w:tab w:val="left" w:pos="454"/>
        <w:tab w:val="left" w:pos="907"/>
        <w:tab w:val="left" w:pos="1361"/>
        <w:tab w:val="left" w:pos="1814"/>
      </w:tabs>
      <w:spacing w:after="240"/>
      <w:jc w:val="both"/>
    </w:pPr>
    <w:rPr>
      <w:rFonts w:ascii="Arial" w:hAnsi="Arial"/>
      <w:sz w:val="19"/>
      <w:szCs w:val="20"/>
    </w:rPr>
  </w:style>
  <w:style w:type="paragraph" w:customStyle="1" w:styleId="Tablebody">
    <w:name w:val="Table body"/>
    <w:basedOn w:val="Normal"/>
    <w:rsid w:val="00A5050A"/>
    <w:pPr>
      <w:tabs>
        <w:tab w:val="left" w:pos="454"/>
        <w:tab w:val="left" w:pos="907"/>
        <w:tab w:val="left" w:pos="1361"/>
        <w:tab w:val="left" w:pos="1814"/>
      </w:tabs>
      <w:spacing w:after="120"/>
    </w:pPr>
    <w:rPr>
      <w:rFonts w:ascii="Arial" w:hAnsi="Arial"/>
      <w:sz w:val="19"/>
      <w:szCs w:val="20"/>
    </w:rPr>
  </w:style>
  <w:style w:type="paragraph" w:customStyle="1" w:styleId="Tableheader">
    <w:name w:val="Table header"/>
    <w:basedOn w:val="Normal"/>
    <w:rsid w:val="00A5050A"/>
    <w:pPr>
      <w:tabs>
        <w:tab w:val="left" w:pos="454"/>
        <w:tab w:val="left" w:pos="907"/>
        <w:tab w:val="left" w:pos="1361"/>
        <w:tab w:val="left" w:pos="1814"/>
      </w:tabs>
      <w:spacing w:after="120"/>
      <w:jc w:val="both"/>
    </w:pPr>
    <w:rPr>
      <w:rFonts w:ascii="Arial" w:hAnsi="Arial"/>
      <w:b/>
      <w:color w:val="808080"/>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anr\AppData\Local\Temp\IB-Defau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B_MyriadPro">
      <a:majorFont>
        <a:latin typeface="Myriad Pro"/>
        <a:ea typeface=""/>
        <a:cs typeface=""/>
      </a:majorFont>
      <a:minorFont>
        <a:latin typeface="Myriad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F3EFF-DA67-46E2-9D3A-D20730D9C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IB-Default</Template>
  <TotalTime>1</TotalTime>
  <Pages>5</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International Baccalaureate Organization</Company>
  <LinksUpToDate>false</LinksUpToDate>
  <CharactersWithSpaces>8177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Rankin</dc:creator>
  <cp:keywords/>
  <dc:description>IB07 - Report - Version february 2015_x000d_Template: Ton Persoon</dc:description>
  <cp:lastModifiedBy>Sean Rankin</cp:lastModifiedBy>
  <cp:revision>2</cp:revision>
  <cp:lastPrinted>2019-05-22T18:26:00Z</cp:lastPrinted>
  <dcterms:created xsi:type="dcterms:W3CDTF">2019-05-22T18:28:00Z</dcterms:created>
  <dcterms:modified xsi:type="dcterms:W3CDTF">2019-05-22T18:28:00Z</dcterms:modified>
  <cp:category/>
</cp:coreProperties>
</file>